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D06786" w:rsidRDefault="004536E7" w:rsidP="00B956F4">
      <w:pPr>
        <w:ind w:firstLine="0"/>
        <w:jc w:val="center"/>
        <w:rPr>
          <w:b/>
        </w:rPr>
      </w:pPr>
      <w:r>
        <w:rPr>
          <w:b/>
        </w:rPr>
        <w:t>GT CASOS PARA ENSINO</w:t>
      </w:r>
    </w:p>
    <w:p w14:paraId="00000002" w14:textId="77777777" w:rsidR="00D06786" w:rsidRDefault="00D06786">
      <w:pPr>
        <w:rPr>
          <w:b/>
        </w:rPr>
      </w:pPr>
    </w:p>
    <w:p w14:paraId="00000003" w14:textId="77D09F6D" w:rsidR="00D06786" w:rsidRDefault="004536E7" w:rsidP="00B956F4">
      <w:pPr>
        <w:ind w:firstLine="0"/>
        <w:jc w:val="center"/>
        <w:rPr>
          <w:b/>
        </w:rPr>
      </w:pPr>
      <w:r>
        <w:rPr>
          <w:b/>
        </w:rPr>
        <w:t xml:space="preserve">COMPRA DE VEÍCULOS E OS VÍCIOS OCULTOS </w:t>
      </w:r>
    </w:p>
    <w:p w14:paraId="00000004" w14:textId="77777777" w:rsidR="00D06786" w:rsidRDefault="00D06786">
      <w:pPr>
        <w:spacing w:line="240" w:lineRule="auto"/>
        <w:jc w:val="right"/>
        <w:rPr>
          <w:color w:val="000000"/>
        </w:rPr>
      </w:pPr>
    </w:p>
    <w:p w14:paraId="00000006" w14:textId="21148ED9" w:rsidR="00D06786" w:rsidRDefault="004536E7">
      <w:pPr>
        <w:spacing w:line="240" w:lineRule="auto"/>
        <w:jc w:val="right"/>
        <w:rPr>
          <w:color w:val="000000"/>
        </w:rPr>
      </w:pPr>
      <w:r>
        <w:rPr>
          <w:color w:val="000000"/>
        </w:rPr>
        <w:t>Fernanda Beatris Peixoto Matos</w:t>
      </w:r>
      <w:r>
        <w:rPr>
          <w:vertAlign w:val="superscript"/>
        </w:rPr>
        <w:footnoteReference w:id="1"/>
      </w:r>
    </w:p>
    <w:p w14:paraId="78D7E062" w14:textId="0D3071E3" w:rsidR="00FA6BF0" w:rsidRDefault="00FA6BF0" w:rsidP="00FA6BF0">
      <w:pPr>
        <w:spacing w:line="240" w:lineRule="auto"/>
        <w:jc w:val="right"/>
      </w:pPr>
      <w:r>
        <w:rPr>
          <w:color w:val="000000"/>
        </w:rPr>
        <w:t>Ana Julia Lopes Palmeira</w:t>
      </w:r>
      <w:r>
        <w:rPr>
          <w:vertAlign w:val="superscript"/>
        </w:rPr>
        <w:footnoteReference w:id="2"/>
      </w:r>
    </w:p>
    <w:p w14:paraId="1118A204" w14:textId="77777777" w:rsidR="00CC414B" w:rsidRDefault="00CC414B" w:rsidP="00CC414B">
      <w:pPr>
        <w:spacing w:line="240" w:lineRule="auto"/>
        <w:jc w:val="right"/>
      </w:pPr>
      <w:r>
        <w:rPr>
          <w:color w:val="000000"/>
        </w:rPr>
        <w:t>Fábio Luiz de Oliveira Bezerra</w:t>
      </w:r>
      <w:r>
        <w:rPr>
          <w:vertAlign w:val="superscript"/>
        </w:rPr>
        <w:footnoteReference w:id="3"/>
      </w:r>
    </w:p>
    <w:p w14:paraId="425603AD" w14:textId="77777777" w:rsidR="00FA6BF0" w:rsidRDefault="00FA6BF0">
      <w:pPr>
        <w:spacing w:line="240" w:lineRule="auto"/>
        <w:jc w:val="right"/>
      </w:pPr>
    </w:p>
    <w:p w14:paraId="00000007" w14:textId="77777777" w:rsidR="00D06786" w:rsidRDefault="00D06786">
      <w:pPr>
        <w:ind w:firstLine="0"/>
      </w:pPr>
      <w:bookmarkStart w:id="0" w:name="_heading=h.30j0zll" w:colFirst="0" w:colLast="0"/>
      <w:bookmarkEnd w:id="0"/>
    </w:p>
    <w:p w14:paraId="00000008" w14:textId="77777777" w:rsidR="00D06786" w:rsidRDefault="004536E7">
      <w:pPr>
        <w:spacing w:line="240" w:lineRule="auto"/>
        <w:ind w:firstLine="0"/>
        <w:rPr>
          <w:b/>
          <w:smallCaps/>
        </w:rPr>
      </w:pPr>
      <w:r>
        <w:rPr>
          <w:b/>
          <w:smallCaps/>
        </w:rPr>
        <w:t>RESUMO</w:t>
      </w:r>
    </w:p>
    <w:p w14:paraId="45D1AF61" w14:textId="77777777" w:rsidR="002478D7" w:rsidRDefault="002478D7">
      <w:pPr>
        <w:spacing w:line="240" w:lineRule="auto"/>
        <w:ind w:firstLine="0"/>
        <w:rPr>
          <w:b/>
          <w:smallCaps/>
        </w:rPr>
      </w:pPr>
    </w:p>
    <w:p w14:paraId="00000009" w14:textId="34B653AA" w:rsidR="00D06786" w:rsidRDefault="004536E7" w:rsidP="002478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color w:val="000000"/>
          <w:sz w:val="22"/>
          <w:szCs w:val="22"/>
        </w:rPr>
      </w:pPr>
      <w:r w:rsidRPr="002478D7">
        <w:rPr>
          <w:color w:val="000000"/>
          <w:sz w:val="22"/>
          <w:szCs w:val="22"/>
        </w:rPr>
        <w:t xml:space="preserve">O presente caso trata da história de Cícero, um senhor </w:t>
      </w:r>
      <w:r w:rsidR="00B956F4" w:rsidRPr="002478D7">
        <w:rPr>
          <w:color w:val="000000"/>
          <w:sz w:val="22"/>
          <w:szCs w:val="22"/>
        </w:rPr>
        <w:t xml:space="preserve">de idade </w:t>
      </w:r>
      <w:r w:rsidRPr="002478D7">
        <w:rPr>
          <w:color w:val="000000"/>
          <w:sz w:val="22"/>
          <w:szCs w:val="22"/>
        </w:rPr>
        <w:t>aposentado, que decide</w:t>
      </w:r>
      <w:r w:rsidR="00B956F4" w:rsidRPr="002478D7">
        <w:rPr>
          <w:color w:val="000000"/>
          <w:sz w:val="22"/>
          <w:szCs w:val="22"/>
        </w:rPr>
        <w:t>, por indicação de seu vizinho,</w:t>
      </w:r>
      <w:r w:rsidRPr="002478D7">
        <w:rPr>
          <w:color w:val="000000"/>
          <w:sz w:val="22"/>
          <w:szCs w:val="22"/>
        </w:rPr>
        <w:t xml:space="preserve"> comprar um carro pela</w:t>
      </w:r>
      <w:r w:rsidR="00B956F4" w:rsidRPr="002478D7">
        <w:rPr>
          <w:color w:val="000000"/>
          <w:sz w:val="22"/>
          <w:szCs w:val="22"/>
        </w:rPr>
        <w:t xml:space="preserve"> plataforma</w:t>
      </w:r>
      <w:r w:rsidRPr="002478D7">
        <w:rPr>
          <w:color w:val="000000"/>
          <w:sz w:val="22"/>
          <w:szCs w:val="22"/>
        </w:rPr>
        <w:t xml:space="preserve"> OLX</w:t>
      </w:r>
      <w:r w:rsidR="00B956F4" w:rsidRPr="002478D7">
        <w:rPr>
          <w:color w:val="000000"/>
          <w:sz w:val="22"/>
          <w:szCs w:val="22"/>
        </w:rPr>
        <w:t xml:space="preserve">. Nesse mencionado </w:t>
      </w:r>
      <w:r w:rsidR="00B956F4" w:rsidRPr="002478D7">
        <w:rPr>
          <w:i/>
          <w:iCs/>
          <w:color w:val="000000"/>
          <w:sz w:val="22"/>
          <w:szCs w:val="22"/>
        </w:rPr>
        <w:t>site</w:t>
      </w:r>
      <w:r w:rsidR="00B956F4" w:rsidRPr="002478D7">
        <w:rPr>
          <w:color w:val="000000"/>
          <w:sz w:val="22"/>
          <w:szCs w:val="22"/>
        </w:rPr>
        <w:t xml:space="preserve">, Cícero se depara com </w:t>
      </w:r>
      <w:r w:rsidRPr="002478D7">
        <w:rPr>
          <w:color w:val="000000"/>
          <w:sz w:val="22"/>
          <w:szCs w:val="22"/>
        </w:rPr>
        <w:t xml:space="preserve">o anúncio de João, </w:t>
      </w:r>
      <w:r w:rsidR="00B956F4" w:rsidRPr="002478D7">
        <w:rPr>
          <w:color w:val="000000"/>
          <w:sz w:val="22"/>
          <w:szCs w:val="22"/>
        </w:rPr>
        <w:t xml:space="preserve">referente a </w:t>
      </w:r>
      <w:r w:rsidR="00ED62E7" w:rsidRPr="002478D7">
        <w:rPr>
          <w:color w:val="000000"/>
          <w:sz w:val="22"/>
          <w:szCs w:val="22"/>
        </w:rPr>
        <w:t xml:space="preserve">um </w:t>
      </w:r>
      <w:r w:rsidR="00B956F4" w:rsidRPr="002478D7">
        <w:rPr>
          <w:color w:val="000000"/>
          <w:sz w:val="22"/>
          <w:szCs w:val="22"/>
        </w:rPr>
        <w:t>veículo T</w:t>
      </w:r>
      <w:r w:rsidRPr="002478D7">
        <w:rPr>
          <w:color w:val="000000"/>
          <w:sz w:val="22"/>
          <w:szCs w:val="22"/>
        </w:rPr>
        <w:t>oyota</w:t>
      </w:r>
      <w:r w:rsidR="00B956F4" w:rsidRPr="002478D7">
        <w:rPr>
          <w:color w:val="000000"/>
          <w:sz w:val="22"/>
          <w:szCs w:val="22"/>
        </w:rPr>
        <w:t xml:space="preserve"> </w:t>
      </w:r>
      <w:r w:rsidRPr="002478D7">
        <w:rPr>
          <w:color w:val="000000"/>
          <w:sz w:val="22"/>
          <w:szCs w:val="22"/>
        </w:rPr>
        <w:t xml:space="preserve">Corolla, </w:t>
      </w:r>
      <w:r w:rsidR="00B956F4" w:rsidRPr="002478D7">
        <w:rPr>
          <w:color w:val="000000"/>
          <w:sz w:val="22"/>
          <w:szCs w:val="22"/>
        </w:rPr>
        <w:t xml:space="preserve">modelo/ano </w:t>
      </w:r>
      <w:r w:rsidRPr="002478D7">
        <w:rPr>
          <w:color w:val="000000"/>
          <w:sz w:val="22"/>
          <w:szCs w:val="22"/>
        </w:rPr>
        <w:t xml:space="preserve">2012. No entanto, </w:t>
      </w:r>
      <w:r w:rsidR="00B956F4" w:rsidRPr="002478D7">
        <w:rPr>
          <w:color w:val="000000"/>
          <w:sz w:val="22"/>
          <w:szCs w:val="22"/>
        </w:rPr>
        <w:t xml:space="preserve">durante as negociações, no </w:t>
      </w:r>
      <w:r w:rsidRPr="002478D7">
        <w:rPr>
          <w:color w:val="000000"/>
          <w:sz w:val="22"/>
          <w:szCs w:val="22"/>
        </w:rPr>
        <w:t xml:space="preserve">intuito de averiguar as condições do </w:t>
      </w:r>
      <w:r w:rsidR="00B956F4" w:rsidRPr="002478D7">
        <w:rPr>
          <w:color w:val="000000"/>
          <w:sz w:val="22"/>
          <w:szCs w:val="22"/>
        </w:rPr>
        <w:t>bem</w:t>
      </w:r>
      <w:r w:rsidRPr="002478D7">
        <w:rPr>
          <w:color w:val="000000"/>
          <w:sz w:val="22"/>
          <w:szCs w:val="22"/>
        </w:rPr>
        <w:t xml:space="preserve">, </w:t>
      </w:r>
      <w:r w:rsidR="00B956F4" w:rsidRPr="002478D7">
        <w:rPr>
          <w:color w:val="000000"/>
          <w:sz w:val="22"/>
          <w:szCs w:val="22"/>
        </w:rPr>
        <w:t xml:space="preserve">as partes </w:t>
      </w:r>
      <w:r w:rsidRPr="002478D7">
        <w:rPr>
          <w:color w:val="000000"/>
          <w:sz w:val="22"/>
          <w:szCs w:val="22"/>
        </w:rPr>
        <w:t>decidem por se encontrar presencialmente para</w:t>
      </w:r>
      <w:r w:rsidR="00B956F4" w:rsidRPr="002478D7">
        <w:rPr>
          <w:color w:val="000000"/>
          <w:sz w:val="22"/>
          <w:szCs w:val="22"/>
        </w:rPr>
        <w:t xml:space="preserve">, somente então, </w:t>
      </w:r>
      <w:r w:rsidRPr="002478D7">
        <w:rPr>
          <w:color w:val="000000"/>
          <w:sz w:val="22"/>
          <w:szCs w:val="22"/>
        </w:rPr>
        <w:t>celebrar o contrato</w:t>
      </w:r>
      <w:r w:rsidR="00C50E49" w:rsidRPr="002478D7">
        <w:rPr>
          <w:color w:val="000000"/>
          <w:sz w:val="22"/>
          <w:szCs w:val="22"/>
        </w:rPr>
        <w:t xml:space="preserve">, o que vem a acontecer posteriormente. </w:t>
      </w:r>
      <w:r w:rsidRPr="002478D7">
        <w:rPr>
          <w:color w:val="000000"/>
          <w:sz w:val="22"/>
          <w:szCs w:val="22"/>
        </w:rPr>
        <w:t xml:space="preserve">Após isso, em </w:t>
      </w:r>
      <w:r w:rsidR="00C50E49" w:rsidRPr="002478D7">
        <w:rPr>
          <w:color w:val="000000"/>
          <w:sz w:val="22"/>
          <w:szCs w:val="22"/>
        </w:rPr>
        <w:t xml:space="preserve">meio a </w:t>
      </w:r>
      <w:r w:rsidRPr="002478D7">
        <w:rPr>
          <w:color w:val="000000"/>
          <w:sz w:val="22"/>
          <w:szCs w:val="22"/>
        </w:rPr>
        <w:t>uma viagem com a família</w:t>
      </w:r>
      <w:r w:rsidR="00C50E49" w:rsidRPr="002478D7">
        <w:rPr>
          <w:color w:val="000000"/>
          <w:sz w:val="22"/>
          <w:szCs w:val="22"/>
        </w:rPr>
        <w:t xml:space="preserve"> de Cícero</w:t>
      </w:r>
      <w:r w:rsidRPr="002478D7">
        <w:rPr>
          <w:color w:val="000000"/>
          <w:sz w:val="22"/>
          <w:szCs w:val="22"/>
        </w:rPr>
        <w:t xml:space="preserve">, o carro apresenta um vício oculto (vício redibitório), que acaba impossibilitando </w:t>
      </w:r>
      <w:r w:rsidR="00C50E49" w:rsidRPr="002478D7">
        <w:rPr>
          <w:color w:val="000000"/>
          <w:sz w:val="22"/>
          <w:szCs w:val="22"/>
        </w:rPr>
        <w:t xml:space="preserve">seu </w:t>
      </w:r>
      <w:r w:rsidRPr="002478D7">
        <w:rPr>
          <w:color w:val="000000"/>
          <w:sz w:val="22"/>
          <w:szCs w:val="22"/>
        </w:rPr>
        <w:t>uso</w:t>
      </w:r>
      <w:r w:rsidR="00C50E49" w:rsidRPr="002478D7">
        <w:rPr>
          <w:color w:val="000000"/>
          <w:sz w:val="22"/>
          <w:szCs w:val="22"/>
        </w:rPr>
        <w:t>, sendo essa a situação-problema proposta</w:t>
      </w:r>
      <w:r w:rsidRPr="002478D7">
        <w:rPr>
          <w:color w:val="000000"/>
          <w:sz w:val="22"/>
          <w:szCs w:val="22"/>
        </w:rPr>
        <w:t xml:space="preserve">. O objetivo deste caso </w:t>
      </w:r>
      <w:r w:rsidR="00C50E49" w:rsidRPr="002478D7">
        <w:rPr>
          <w:color w:val="000000"/>
          <w:sz w:val="22"/>
          <w:szCs w:val="22"/>
        </w:rPr>
        <w:t>para</w:t>
      </w:r>
      <w:r w:rsidRPr="002478D7">
        <w:rPr>
          <w:color w:val="000000"/>
          <w:sz w:val="22"/>
          <w:szCs w:val="22"/>
        </w:rPr>
        <w:t xml:space="preserve"> ensino é compreender os aspectos formais e jurídicos que permeiam o problema</w:t>
      </w:r>
      <w:r w:rsidR="00C50E49" w:rsidRPr="002478D7">
        <w:rPr>
          <w:color w:val="000000"/>
          <w:sz w:val="22"/>
          <w:szCs w:val="22"/>
        </w:rPr>
        <w:t xml:space="preserve"> e analisar o</w:t>
      </w:r>
      <w:r w:rsidRPr="002478D7">
        <w:rPr>
          <w:color w:val="000000"/>
          <w:sz w:val="22"/>
          <w:szCs w:val="22"/>
        </w:rPr>
        <w:t xml:space="preserve">s institutos jurídicos que estão inseridos nesta situação, tais como o vício redibitório, </w:t>
      </w:r>
      <w:r w:rsidR="00C50E49" w:rsidRPr="002478D7">
        <w:rPr>
          <w:color w:val="000000"/>
          <w:sz w:val="22"/>
          <w:szCs w:val="22"/>
        </w:rPr>
        <w:t xml:space="preserve">as </w:t>
      </w:r>
      <w:r w:rsidRPr="002478D7">
        <w:rPr>
          <w:color w:val="000000"/>
          <w:sz w:val="22"/>
          <w:szCs w:val="22"/>
        </w:rPr>
        <w:t xml:space="preserve">ações edilícias (ação redibitória e ação estimatória), </w:t>
      </w:r>
      <w:r w:rsidR="00C50E49" w:rsidRPr="002478D7">
        <w:rPr>
          <w:color w:val="000000"/>
          <w:sz w:val="22"/>
          <w:szCs w:val="22"/>
        </w:rPr>
        <w:t xml:space="preserve">os </w:t>
      </w:r>
      <w:r w:rsidRPr="002478D7">
        <w:rPr>
          <w:color w:val="000000"/>
          <w:sz w:val="22"/>
          <w:szCs w:val="22"/>
        </w:rPr>
        <w:t xml:space="preserve">desdobramentos legais da </w:t>
      </w:r>
      <w:r w:rsidR="00C50E49" w:rsidRPr="002478D7">
        <w:rPr>
          <w:color w:val="000000"/>
          <w:sz w:val="22"/>
          <w:szCs w:val="22"/>
        </w:rPr>
        <w:t xml:space="preserve">eventual </w:t>
      </w:r>
      <w:r w:rsidRPr="002478D7">
        <w:rPr>
          <w:color w:val="000000"/>
          <w:sz w:val="22"/>
          <w:szCs w:val="22"/>
        </w:rPr>
        <w:t>má-fé</w:t>
      </w:r>
      <w:r w:rsidR="00C50E49" w:rsidRPr="002478D7">
        <w:rPr>
          <w:color w:val="000000"/>
          <w:sz w:val="22"/>
          <w:szCs w:val="22"/>
        </w:rPr>
        <w:t xml:space="preserve"> do alienante</w:t>
      </w:r>
      <w:r w:rsidRPr="002478D7">
        <w:rPr>
          <w:color w:val="000000"/>
          <w:sz w:val="22"/>
          <w:szCs w:val="22"/>
        </w:rPr>
        <w:t xml:space="preserve"> e a presença das plataformas virtuais n</w:t>
      </w:r>
      <w:r w:rsidR="00C50E49" w:rsidRPr="002478D7">
        <w:rPr>
          <w:color w:val="000000"/>
          <w:sz w:val="22"/>
          <w:szCs w:val="22"/>
        </w:rPr>
        <w:t>as</w:t>
      </w:r>
      <w:r w:rsidRPr="002478D7">
        <w:rPr>
          <w:color w:val="000000"/>
          <w:sz w:val="22"/>
          <w:szCs w:val="22"/>
        </w:rPr>
        <w:t xml:space="preserve"> relações</w:t>
      </w:r>
      <w:r w:rsidR="00C50E49" w:rsidRPr="002478D7">
        <w:rPr>
          <w:color w:val="000000"/>
          <w:sz w:val="22"/>
          <w:szCs w:val="22"/>
        </w:rPr>
        <w:t xml:space="preserve"> contratuais civilistas</w:t>
      </w:r>
      <w:r w:rsidRPr="002478D7">
        <w:rPr>
          <w:color w:val="000000"/>
          <w:sz w:val="22"/>
          <w:szCs w:val="22"/>
        </w:rPr>
        <w:t>. De</w:t>
      </w:r>
      <w:r w:rsidR="00C50E49" w:rsidRPr="002478D7">
        <w:rPr>
          <w:color w:val="000000"/>
          <w:sz w:val="22"/>
          <w:szCs w:val="22"/>
        </w:rPr>
        <w:t>ssa</w:t>
      </w:r>
      <w:r w:rsidRPr="002478D7">
        <w:rPr>
          <w:color w:val="000000"/>
          <w:sz w:val="22"/>
          <w:szCs w:val="22"/>
        </w:rPr>
        <w:t xml:space="preserve"> forma</w:t>
      </w:r>
      <w:r w:rsidR="00C50E49" w:rsidRPr="002478D7">
        <w:rPr>
          <w:color w:val="000000"/>
          <w:sz w:val="22"/>
          <w:szCs w:val="22"/>
        </w:rPr>
        <w:t>, espera-se</w:t>
      </w:r>
      <w:r w:rsidRPr="002478D7">
        <w:rPr>
          <w:color w:val="000000"/>
          <w:sz w:val="22"/>
          <w:szCs w:val="22"/>
        </w:rPr>
        <w:t xml:space="preserve"> que </w:t>
      </w:r>
      <w:r w:rsidR="00795B4A" w:rsidRPr="002478D7">
        <w:rPr>
          <w:color w:val="000000"/>
          <w:sz w:val="22"/>
          <w:szCs w:val="22"/>
        </w:rPr>
        <w:t>os discentes</w:t>
      </w:r>
      <w:r w:rsidR="00C50E49" w:rsidRPr="002478D7">
        <w:rPr>
          <w:color w:val="000000"/>
          <w:sz w:val="22"/>
          <w:szCs w:val="22"/>
        </w:rPr>
        <w:t xml:space="preserve">, com amparo na </w:t>
      </w:r>
      <w:r w:rsidRPr="002478D7">
        <w:rPr>
          <w:color w:val="000000"/>
          <w:sz w:val="22"/>
          <w:szCs w:val="22"/>
        </w:rPr>
        <w:t xml:space="preserve">doutrina e </w:t>
      </w:r>
      <w:r w:rsidR="00C50E49" w:rsidRPr="002478D7">
        <w:rPr>
          <w:color w:val="000000"/>
          <w:sz w:val="22"/>
          <w:szCs w:val="22"/>
        </w:rPr>
        <w:t xml:space="preserve">na </w:t>
      </w:r>
      <w:r w:rsidRPr="002478D7">
        <w:rPr>
          <w:color w:val="000000"/>
          <w:sz w:val="22"/>
          <w:szCs w:val="22"/>
        </w:rPr>
        <w:t>jurisprudência específica para o tema, apont</w:t>
      </w:r>
      <w:r w:rsidR="00C50E49" w:rsidRPr="002478D7">
        <w:rPr>
          <w:color w:val="000000"/>
          <w:sz w:val="22"/>
          <w:szCs w:val="22"/>
        </w:rPr>
        <w:t>em</w:t>
      </w:r>
      <w:r w:rsidRPr="002478D7">
        <w:rPr>
          <w:color w:val="000000"/>
          <w:sz w:val="22"/>
          <w:szCs w:val="22"/>
        </w:rPr>
        <w:t xml:space="preserve"> as possíveis soluções para </w:t>
      </w:r>
      <w:r w:rsidR="00C50E49" w:rsidRPr="002478D7">
        <w:rPr>
          <w:color w:val="000000"/>
          <w:sz w:val="22"/>
          <w:szCs w:val="22"/>
        </w:rPr>
        <w:t xml:space="preserve">a situação </w:t>
      </w:r>
      <w:r w:rsidRPr="002478D7">
        <w:rPr>
          <w:color w:val="000000"/>
          <w:sz w:val="22"/>
          <w:szCs w:val="22"/>
        </w:rPr>
        <w:t>examinad</w:t>
      </w:r>
      <w:r w:rsidR="00C50E49" w:rsidRPr="002478D7">
        <w:rPr>
          <w:color w:val="000000"/>
          <w:sz w:val="22"/>
          <w:szCs w:val="22"/>
        </w:rPr>
        <w:t>a</w:t>
      </w:r>
      <w:r w:rsidRPr="002478D7">
        <w:rPr>
          <w:color w:val="000000"/>
          <w:sz w:val="22"/>
          <w:szCs w:val="22"/>
        </w:rPr>
        <w:t>.</w:t>
      </w:r>
    </w:p>
    <w:p w14:paraId="4D70D997" w14:textId="77777777" w:rsidR="002478D7" w:rsidRPr="002478D7" w:rsidRDefault="002478D7" w:rsidP="002478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color w:val="000000"/>
          <w:sz w:val="22"/>
          <w:szCs w:val="22"/>
        </w:rPr>
      </w:pPr>
    </w:p>
    <w:p w14:paraId="3594701D" w14:textId="1DB1E788" w:rsidR="00B956F4" w:rsidRDefault="004536E7">
      <w:pPr>
        <w:ind w:firstLine="0"/>
      </w:pPr>
      <w:r>
        <w:rPr>
          <w:b/>
        </w:rPr>
        <w:t xml:space="preserve">Palavras-chave: </w:t>
      </w:r>
      <w:r>
        <w:t xml:space="preserve"> Contratos. Vício Redibitório.</w:t>
      </w:r>
      <w:r w:rsidR="009C62C5">
        <w:t xml:space="preserve"> Plataforma digital</w:t>
      </w:r>
      <w:r>
        <w:t>. Caso para ensino</w:t>
      </w:r>
      <w:r w:rsidR="00B956F4">
        <w:t>.</w:t>
      </w:r>
    </w:p>
    <w:p w14:paraId="165C250E" w14:textId="77777777" w:rsidR="00556F0E" w:rsidRDefault="00556F0E">
      <w:pPr>
        <w:ind w:firstLine="0"/>
      </w:pPr>
    </w:p>
    <w:p w14:paraId="65C14B03" w14:textId="61405A39" w:rsidR="00795B4A" w:rsidRPr="00795B4A" w:rsidRDefault="004536E7" w:rsidP="00795B4A">
      <w:pPr>
        <w:keepNext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color w:val="000000"/>
        </w:rPr>
      </w:pPr>
      <w:r>
        <w:rPr>
          <w:b/>
          <w:color w:val="000000"/>
        </w:rPr>
        <w:t>APRESENTAÇÃO DO CASO</w:t>
      </w:r>
    </w:p>
    <w:p w14:paraId="0AA84BBD" w14:textId="10F8D1FA" w:rsidR="00795B4A" w:rsidRDefault="00795B4A">
      <w:r>
        <w:t>O caso para ensino em questão almeja desenvolver aspectos importantes do Direito Civil, muitas vezes presentes em situações reais, e que devem ser refletid</w:t>
      </w:r>
      <w:r w:rsidR="00ED62E7">
        <w:t>o</w:t>
      </w:r>
      <w:r>
        <w:t>s pelos alunos durante a interpretação do problema proposto e sua resolução. Para tanto, se pretende demonstrar uma situação de aplicação do vício redibitório e apresentar como as ações edilícias podem vir a ser consequências diretas das relações contratuais, em razão da existência de má-fé na celebração de contratos.</w:t>
      </w:r>
    </w:p>
    <w:p w14:paraId="0000000E" w14:textId="13265A19" w:rsidR="00D06786" w:rsidRDefault="00D73E54">
      <w:r>
        <w:t xml:space="preserve">Para além disso, o presente trabalho também aborda uma questão cada vez mais recorrente </w:t>
      </w:r>
      <w:proofErr w:type="gramStart"/>
      <w:r>
        <w:t>nos dias atuais</w:t>
      </w:r>
      <w:proofErr w:type="gramEnd"/>
      <w:r>
        <w:t>: a intermediação das plataformas virtuais nas negociações entre particulares.</w:t>
      </w:r>
    </w:p>
    <w:p w14:paraId="00000011" w14:textId="47D3515D" w:rsidR="00D06786" w:rsidRDefault="00D73E54" w:rsidP="00693FE0">
      <w:r>
        <w:t xml:space="preserve">Organizacionalmente, o caso está dividido da seguinte forma: é feita a apresentação breve do caso, através de um relato inicial (seção 1.1), e, logo, em seguida, apresentada a situação-problema (seção 1.2) a ser discutida em sala de aula, a fim de estimular os alunos a refletirem sobre as </w:t>
      </w:r>
      <w:r>
        <w:lastRenderedPageBreak/>
        <w:t>possibilidades e as soluções jurídicas aplicáveis ao caso, assim como outras nuances que poderiam engendrar conclusões diversas.</w:t>
      </w:r>
    </w:p>
    <w:p w14:paraId="00000012" w14:textId="1C092B69" w:rsidR="00D06786" w:rsidRPr="00556F0E" w:rsidRDefault="004536E7">
      <w:pPr>
        <w:keepNext/>
        <w:keepLines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Cs/>
          <w:color w:val="000000"/>
        </w:rPr>
      </w:pPr>
      <w:r w:rsidRPr="00556F0E">
        <w:rPr>
          <w:bCs/>
          <w:color w:val="000000"/>
        </w:rPr>
        <w:t>R</w:t>
      </w:r>
      <w:r w:rsidR="00556F0E">
        <w:rPr>
          <w:bCs/>
          <w:color w:val="000000"/>
        </w:rPr>
        <w:t>ELATO INICIAL</w:t>
      </w:r>
      <w:r w:rsidRPr="00556F0E">
        <w:rPr>
          <w:bCs/>
          <w:color w:val="000000"/>
        </w:rPr>
        <w:t xml:space="preserve"> </w:t>
      </w:r>
    </w:p>
    <w:p w14:paraId="00000013" w14:textId="35E165A6" w:rsidR="00D06786" w:rsidRDefault="004536E7">
      <w:pPr>
        <w:ind w:firstLine="720"/>
      </w:pPr>
      <w:r>
        <w:t>Cícero é um senhor de 60 anos</w:t>
      </w:r>
      <w:r w:rsidR="00F27083">
        <w:t xml:space="preserve">, </w:t>
      </w:r>
      <w:r>
        <w:t>recém-aposentado</w:t>
      </w:r>
      <w:r w:rsidR="00F27083">
        <w:t>,</w:t>
      </w:r>
      <w:r>
        <w:t xml:space="preserve"> que </w:t>
      </w:r>
      <w:r w:rsidR="00F27083">
        <w:t xml:space="preserve">tinha o grande objetivo de </w:t>
      </w:r>
      <w:r>
        <w:t xml:space="preserve">comprar um carro. Ciente </w:t>
      </w:r>
      <w:r w:rsidR="00F27083">
        <w:t xml:space="preserve">de </w:t>
      </w:r>
      <w:r>
        <w:t>que o seu vizinho</w:t>
      </w:r>
      <w:r w:rsidR="00F27083">
        <w:t xml:space="preserve">, </w:t>
      </w:r>
      <w:r>
        <w:t>Carlos</w:t>
      </w:r>
      <w:r w:rsidR="00F27083">
        <w:t>, havia</w:t>
      </w:r>
      <w:r>
        <w:t xml:space="preserve"> comprado</w:t>
      </w:r>
      <w:r w:rsidR="00F27083">
        <w:t xml:space="preserve"> um veículo novo há não muito tempo, Cícero </w:t>
      </w:r>
      <w:r w:rsidR="00BE1623">
        <w:t xml:space="preserve">o procurou </w:t>
      </w:r>
      <w:r w:rsidR="00F27083">
        <w:t>para</w:t>
      </w:r>
      <w:r w:rsidR="00BE1623">
        <w:t xml:space="preserve"> sanar suas </w:t>
      </w:r>
      <w:r w:rsidR="00F27083">
        <w:t xml:space="preserve">dúvidas e saber o preço atualizado de mercado, </w:t>
      </w:r>
      <w:r>
        <w:t>já que sempre almej</w:t>
      </w:r>
      <w:r w:rsidR="00F27083">
        <w:t xml:space="preserve">ara </w:t>
      </w:r>
      <w:r>
        <w:t>adquirir um carro d</w:t>
      </w:r>
      <w:r w:rsidR="00F27083">
        <w:t>aque</w:t>
      </w:r>
      <w:r w:rsidR="00BE1623">
        <w:t>la</w:t>
      </w:r>
      <w:r w:rsidR="00F27083">
        <w:t xml:space="preserve"> mesma</w:t>
      </w:r>
      <w:r>
        <w:t xml:space="preserve"> marca</w:t>
      </w:r>
      <w:r w:rsidR="00BE1623">
        <w:t xml:space="preserve"> adquirida por Carlos</w:t>
      </w:r>
      <w:r>
        <w:t>.</w:t>
      </w:r>
    </w:p>
    <w:p w14:paraId="61E8CAEA" w14:textId="77777777" w:rsidR="003612B7" w:rsidRDefault="004536E7">
      <w:pPr>
        <w:ind w:firstLine="720"/>
      </w:pPr>
      <w:r>
        <w:t>Chegando lá, seu vizinho lhe inform</w:t>
      </w:r>
      <w:r w:rsidR="00BE1623">
        <w:t xml:space="preserve">ou </w:t>
      </w:r>
      <w:r>
        <w:t>que a compra se deu pela plataforma OLX</w:t>
      </w:r>
      <w:r w:rsidR="00BE1623">
        <w:t xml:space="preserve">, explicando que se tratava de uma espécie de “classificados”, </w:t>
      </w:r>
      <w:r w:rsidR="00BE1623" w:rsidRPr="00BE1623">
        <w:t>forma</w:t>
      </w:r>
      <w:r w:rsidR="00BE1623">
        <w:t xml:space="preserve"> comum</w:t>
      </w:r>
      <w:r w:rsidR="00BE1623" w:rsidRPr="00BE1623">
        <w:t xml:space="preserve"> </w:t>
      </w:r>
      <w:r w:rsidR="00BE1623">
        <w:t xml:space="preserve">de </w:t>
      </w:r>
      <w:r w:rsidR="00BE1623" w:rsidRPr="00BE1623">
        <w:t>publicidade em jornais</w:t>
      </w:r>
      <w:r w:rsidR="00BE1623">
        <w:t>, a qual Cícero bem conhecia. Entretanto, Carlos mencionou uma pequena diferença da plataforma para o sistema de classificados: a de que aquela atuava como mediadora da venda</w:t>
      </w:r>
      <w:r>
        <w:t xml:space="preserve">. </w:t>
      </w:r>
    </w:p>
    <w:p w14:paraId="00000014" w14:textId="528E91D5" w:rsidR="00D06786" w:rsidRDefault="003612B7" w:rsidP="003612B7">
      <w:pPr>
        <w:ind w:firstLine="720"/>
      </w:pPr>
      <w:r>
        <w:t xml:space="preserve">Animado com tamanha novidade, Cícero começou a pesquisar anúncios de carros na OLX, ocasião em que acabou encontrando o anúncio feito por João, referente a um carro Toyota Corolla, modelo/ano 2012. </w:t>
      </w:r>
      <w:r w:rsidR="00CE3C47">
        <w:t>Notando que n</w:t>
      </w:r>
      <w:r>
        <w:t>as fotos o veículo aparentava estar em perfeito estado</w:t>
      </w:r>
      <w:r w:rsidR="00CE3C47">
        <w:t xml:space="preserve">, o possível comprador entrou em contato com o anunciante pela plataforma, vez que estava receoso de comprar o bem </w:t>
      </w:r>
      <w:r w:rsidR="005E1197">
        <w:t>sem antes ter contato direto com o comprador</w:t>
      </w:r>
      <w:r w:rsidR="00ED62E7">
        <w:t xml:space="preserve"> e </w:t>
      </w:r>
      <w:r w:rsidR="00CE3C47">
        <w:t xml:space="preserve">realizar o </w:t>
      </w:r>
      <w:proofErr w:type="spellStart"/>
      <w:r w:rsidR="00CE3C47">
        <w:rPr>
          <w:i/>
          <w:iCs/>
        </w:rPr>
        <w:t>test</w:t>
      </w:r>
      <w:proofErr w:type="spellEnd"/>
      <w:r w:rsidR="00CE3C47">
        <w:rPr>
          <w:i/>
          <w:iCs/>
        </w:rPr>
        <w:t xml:space="preserve"> drive</w:t>
      </w:r>
      <w:r>
        <w:t>.</w:t>
      </w:r>
    </w:p>
    <w:p w14:paraId="0191AFB5" w14:textId="77777777" w:rsidR="006F2402" w:rsidRDefault="00CE3C47" w:rsidP="00CE3C47">
      <w:pPr>
        <w:ind w:firstLine="720"/>
      </w:pPr>
      <w:r>
        <w:t xml:space="preserve">Assim, Cícero </w:t>
      </w:r>
      <w:r w:rsidR="005E1197">
        <w:t xml:space="preserve">verificou no anúncio o contato de João e decidiu </w:t>
      </w:r>
      <w:r w:rsidR="006F2402">
        <w:t xml:space="preserve">estabelecer comunicação, ocasião em que ambos combinaram de se encontrar pessoalmente, </w:t>
      </w:r>
      <w:r>
        <w:t xml:space="preserve">no intuito de possibilitar que aquele primeiro pudesse conhecer o carro antes de efetivar a aquisição e se certificar de que o objeto não estava avariado. </w:t>
      </w:r>
    </w:p>
    <w:p w14:paraId="00000016" w14:textId="01368EAE" w:rsidR="00D06786" w:rsidRDefault="00CE3C47" w:rsidP="00CE3C47">
      <w:pPr>
        <w:ind w:firstLine="720"/>
      </w:pPr>
      <w:r>
        <w:t xml:space="preserve">Em continuidade, na ocasião do encontro, foi feito o teste e o carro aparentemente não possuía nenhum </w:t>
      </w:r>
      <w:r w:rsidR="000C3DC1">
        <w:t>problema</w:t>
      </w:r>
      <w:r w:rsidR="006F2402">
        <w:t xml:space="preserve">. </w:t>
      </w:r>
      <w:r w:rsidR="00277D95">
        <w:t>Ademais</w:t>
      </w:r>
      <w:r w:rsidR="006F2402">
        <w:t xml:space="preserve">, </w:t>
      </w:r>
      <w:r w:rsidR="000C3DC1">
        <w:t>João alertou que se tratava de um carro antigo</w:t>
      </w:r>
      <w:r w:rsidR="00277D95">
        <w:t xml:space="preserve">, o qual </w:t>
      </w:r>
      <w:r w:rsidR="000C3DC1">
        <w:t xml:space="preserve">já possuía </w:t>
      </w:r>
      <w:r w:rsidR="006F2402">
        <w:t xml:space="preserve">cem mil </w:t>
      </w:r>
      <w:r w:rsidR="000C3DC1">
        <w:t>quilômetros de rodagem, mas que apesar disso</w:t>
      </w:r>
      <w:r w:rsidR="006F2402">
        <w:t>, as manutenções eram realizadas regularmente</w:t>
      </w:r>
      <w:r w:rsidR="00277D95">
        <w:t xml:space="preserve"> e</w:t>
      </w:r>
      <w:r w:rsidR="006F2402">
        <w:t xml:space="preserve"> sem</w:t>
      </w:r>
      <w:r w:rsidR="000C3DC1">
        <w:t>pre em oficinas credenciadas a da Toyota. Posto isso, Cícero</w:t>
      </w:r>
      <w:r w:rsidR="00277D95">
        <w:t xml:space="preserve">, </w:t>
      </w:r>
      <w:r w:rsidR="000C3DC1">
        <w:t xml:space="preserve">muito entusiasmado com o </w:t>
      </w:r>
      <w:r w:rsidR="00277D95">
        <w:t>c</w:t>
      </w:r>
      <w:r w:rsidR="000C3DC1">
        <w:t>arro</w:t>
      </w:r>
      <w:r w:rsidR="00277D95">
        <w:t>,</w:t>
      </w:r>
      <w:r w:rsidR="000C3DC1">
        <w:t xml:space="preserve"> </w:t>
      </w:r>
      <w:r>
        <w:t>findou comprando-o</w:t>
      </w:r>
      <w:r w:rsidR="005749EB">
        <w:t xml:space="preserve"> ali mesmo, ou seja, sem o intermédio da plataforma OLX</w:t>
      </w:r>
      <w:r>
        <w:t>.</w:t>
      </w:r>
    </w:p>
    <w:p w14:paraId="00000017" w14:textId="3BAEEF00" w:rsidR="00D06786" w:rsidRPr="00556F0E" w:rsidRDefault="00556F0E">
      <w:pPr>
        <w:keepNext/>
        <w:keepLines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Cs/>
          <w:color w:val="000000"/>
        </w:rPr>
      </w:pPr>
      <w:r w:rsidRPr="00556F0E">
        <w:rPr>
          <w:bCs/>
          <w:color w:val="000000"/>
        </w:rPr>
        <w:lastRenderedPageBreak/>
        <w:t>SITUAÇÃO-PROBLEMA</w:t>
      </w:r>
    </w:p>
    <w:p w14:paraId="3CF941A8" w14:textId="65C7E9B5" w:rsidR="00005DBF" w:rsidRDefault="004536E7">
      <w:pPr>
        <w:ind w:firstLine="720"/>
      </w:pPr>
      <w:r>
        <w:t xml:space="preserve">Passada uma semana da compra, Cícero resolveu fazer uma viagem em família, </w:t>
      </w:r>
      <w:r w:rsidR="00005DBF">
        <w:t xml:space="preserve">partindo da cidade </w:t>
      </w:r>
      <w:r>
        <w:t>de Natal</w:t>
      </w:r>
      <w:r w:rsidR="00005DBF">
        <w:t>/RN</w:t>
      </w:r>
      <w:r>
        <w:t xml:space="preserve"> para Porto de Galinh</w:t>
      </w:r>
      <w:r w:rsidR="00005DBF">
        <w:t>a</w:t>
      </w:r>
      <w:r>
        <w:t>s</w:t>
      </w:r>
      <w:r w:rsidR="00005DBF">
        <w:t>/PE</w:t>
      </w:r>
      <w:r>
        <w:t xml:space="preserve">, </w:t>
      </w:r>
      <w:r w:rsidR="00005DBF">
        <w:t xml:space="preserve">rota que contabiliza uma distância de pouco mais de 330 quilômetros. Na ida, seu </w:t>
      </w:r>
      <w:r>
        <w:t>carro funcionou normalmente</w:t>
      </w:r>
      <w:r w:rsidR="00005DBF">
        <w:t xml:space="preserve">, contudo, no trajeto de volta, Cícero percebeu uma fumaça estranha saindo da parte de frente do veículo, ocasião em que decidiu parar no acostamento da BR-101 para verificar do que se tratava. </w:t>
      </w:r>
    </w:p>
    <w:p w14:paraId="0000001B" w14:textId="28E56033" w:rsidR="00D06786" w:rsidRDefault="00005DBF" w:rsidP="002837B4">
      <w:pPr>
        <w:ind w:firstLine="720"/>
      </w:pPr>
      <w:r>
        <w:t>Ao abrir o capô, conclui que o motor do veículo superaqueceu e fundiu, em razão de um defeito no sistema de arrefecimento da peça. Completamente desamparado, Cícero lig</w:t>
      </w:r>
      <w:r w:rsidR="0028759D">
        <w:t>ou</w:t>
      </w:r>
      <w:r>
        <w:t xml:space="preserve"> para o </w:t>
      </w:r>
      <w:r w:rsidR="002837B4">
        <w:t xml:space="preserve">serviço de </w:t>
      </w:r>
      <w:r>
        <w:t>guincho para levar o carro</w:t>
      </w:r>
      <w:r w:rsidR="002837B4">
        <w:t xml:space="preserve"> </w:t>
      </w:r>
      <w:r w:rsidR="00947894">
        <w:t>ao</w:t>
      </w:r>
      <w:r w:rsidR="002837B4">
        <w:t xml:space="preserve"> conserto</w:t>
      </w:r>
      <w:r>
        <w:t xml:space="preserve"> e </w:t>
      </w:r>
      <w:r w:rsidR="002837B4">
        <w:t xml:space="preserve">prestar assistência à </w:t>
      </w:r>
      <w:r>
        <w:t>sua família.</w:t>
      </w:r>
      <w:r w:rsidR="002837B4">
        <w:t xml:space="preserve"> Logo em seguida, ainda </w:t>
      </w:r>
      <w:r>
        <w:t xml:space="preserve">estarrecido com a situação, </w:t>
      </w:r>
      <w:r w:rsidR="002837B4">
        <w:t xml:space="preserve">o aposentado </w:t>
      </w:r>
      <w:r>
        <w:t>buscou um advogado</w:t>
      </w:r>
      <w:r w:rsidR="002837B4">
        <w:t xml:space="preserve">, </w:t>
      </w:r>
      <w:r>
        <w:t xml:space="preserve">a fim de se informar quanto às medidas cabíveis </w:t>
      </w:r>
      <w:r w:rsidR="00947894">
        <w:t>e possível indenização</w:t>
      </w:r>
      <w:r w:rsidR="005E1197">
        <w:t xml:space="preserve"> com relação a Jo</w:t>
      </w:r>
      <w:r w:rsidR="000C3DC1">
        <w:t>ã</w:t>
      </w:r>
      <w:r w:rsidR="005E1197">
        <w:t xml:space="preserve">o e a plataforma OLX, já que anunciou um produto que possuía problemas significativos. </w:t>
      </w:r>
      <w:r w:rsidR="0028759D">
        <w:t>Outrossim, também</w:t>
      </w:r>
      <w:r w:rsidR="00C63B45">
        <w:t xml:space="preserve"> ficou em dúvida se não caberia procurar diretamente João, para que pudessem chegar a uma resolução viável para ambos, </w:t>
      </w:r>
      <w:r w:rsidR="0028759D">
        <w:t>no intuito de</w:t>
      </w:r>
      <w:r w:rsidR="00C63B45">
        <w:t xml:space="preserve"> evitar a judicialização.</w:t>
      </w:r>
      <w:r w:rsidR="00556F0E">
        <w:t xml:space="preserve"> Dessa forma, se viu diante de uma escolha entre resolver essa questão judicialmente, ou de forma extrajudicial. </w:t>
      </w:r>
    </w:p>
    <w:p w14:paraId="0000001C" w14:textId="77777777" w:rsidR="00D06786" w:rsidRDefault="004536E7">
      <w:pPr>
        <w:keepNext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color w:val="000000"/>
        </w:rPr>
      </w:pPr>
      <w:r>
        <w:rPr>
          <w:b/>
          <w:color w:val="000000"/>
        </w:rPr>
        <w:t>NOTAS DE ENSINO</w:t>
      </w:r>
    </w:p>
    <w:p w14:paraId="0000001D" w14:textId="62F302CC" w:rsidR="00D06786" w:rsidRDefault="004536E7">
      <w:pPr>
        <w:ind w:firstLine="0"/>
      </w:pPr>
      <w:r>
        <w:tab/>
      </w:r>
      <w:r w:rsidR="00AE4AFF">
        <w:t xml:space="preserve">As notas de ensino </w:t>
      </w:r>
      <w:r>
        <w:t>são direcionadas aos aplicadores do caso para ensino, tutores e professor</w:t>
      </w:r>
      <w:r w:rsidR="00AE4AFF">
        <w:t xml:space="preserve">es, uma vez que </w:t>
      </w:r>
      <w:r>
        <w:t>possuem o intuito de orientar como se dará a aplicação e explicar os detalhes que envolvem o caso.</w:t>
      </w:r>
    </w:p>
    <w:p w14:paraId="0000001E" w14:textId="1F9B471F" w:rsidR="00D06786" w:rsidRDefault="004536E7">
      <w:pPr>
        <w:ind w:firstLine="720"/>
        <w:rPr>
          <w:highlight w:val="yellow"/>
        </w:rPr>
      </w:pPr>
      <w:r>
        <w:rPr>
          <w:color w:val="000000"/>
        </w:rPr>
        <w:t xml:space="preserve">O caso para ensino, </w:t>
      </w:r>
      <w:r w:rsidR="00AE4AFF">
        <w:rPr>
          <w:color w:val="000000"/>
        </w:rPr>
        <w:t xml:space="preserve">conforme </w:t>
      </w:r>
      <w:r>
        <w:rPr>
          <w:color w:val="000000"/>
        </w:rPr>
        <w:t xml:space="preserve">evidenciado por </w:t>
      </w:r>
      <w:proofErr w:type="spellStart"/>
      <w:r>
        <w:rPr>
          <w:color w:val="000000"/>
        </w:rPr>
        <w:t>Roesch</w:t>
      </w:r>
      <w:proofErr w:type="spellEnd"/>
      <w:r>
        <w:rPr>
          <w:color w:val="000000"/>
        </w:rPr>
        <w:t xml:space="preserve"> (2004), é uma descrição detalhada de situações da vida real ou simulada, elaborada com propósitos educacionais específicos. Essa ferramenta pedagógica é amplamente utilizada em instituições de ensino para promover a aprendizagem ativa e aprofundar o conhecimento dos participantes</w:t>
      </w:r>
    </w:p>
    <w:p w14:paraId="0000001F" w14:textId="6144A344" w:rsidR="00D06786" w:rsidRDefault="004536E7">
      <w:pPr>
        <w:ind w:firstLine="0"/>
        <w:rPr>
          <w:color w:val="FF0000"/>
        </w:rPr>
      </w:pPr>
      <w:r>
        <w:rPr>
          <w:color w:val="FF0000"/>
        </w:rPr>
        <w:tab/>
      </w:r>
      <w:r>
        <w:t>A aplicação dessa metodologia busca</w:t>
      </w:r>
      <w:r w:rsidR="00AE4AFF">
        <w:t xml:space="preserve">, a partir de </w:t>
      </w:r>
      <w:r>
        <w:t>situações reais</w:t>
      </w:r>
      <w:r w:rsidR="00AE4AFF">
        <w:t xml:space="preserve">, </w:t>
      </w:r>
      <w:r>
        <w:t>auxiliar</w:t>
      </w:r>
      <w:r w:rsidR="00AE4AFF">
        <w:t xml:space="preserve"> na formação e no </w:t>
      </w:r>
      <w:r>
        <w:t>desenvolvimento</w:t>
      </w:r>
      <w:r w:rsidR="00AE4AFF">
        <w:t xml:space="preserve"> </w:t>
      </w:r>
      <w:r>
        <w:t xml:space="preserve">do aluno como um sujeito ativo </w:t>
      </w:r>
      <w:r w:rsidR="00AE4AFF">
        <w:t>na</w:t>
      </w:r>
      <w:r>
        <w:t xml:space="preserve"> tomada</w:t>
      </w:r>
      <w:r w:rsidR="00AE4AFF">
        <w:t xml:space="preserve"> </w:t>
      </w:r>
      <w:r>
        <w:t>de decisões coerentes</w:t>
      </w:r>
      <w:r w:rsidR="00AE4AFF">
        <w:t>, tal</w:t>
      </w:r>
      <w:r>
        <w:t xml:space="preserve"> como lhe é proposto na narrativa. Não obstante, Nono e Nicoletti (2004) afirma</w:t>
      </w:r>
      <w:r w:rsidR="00AE4AFF">
        <w:t>m</w:t>
      </w:r>
      <w:r>
        <w:t xml:space="preserve"> que o uso do caso para ensino como metodologia em sala de aula estimula a reflexão do docente sobre suas próprias práticas durante </w:t>
      </w:r>
      <w:r>
        <w:lastRenderedPageBreak/>
        <w:t xml:space="preserve">a realização do processo e posteriormente </w:t>
      </w:r>
      <w:r w:rsidR="00AE4AFF">
        <w:t xml:space="preserve">à </w:t>
      </w:r>
      <w:r>
        <w:t>aplicação da atividade, tornando</w:t>
      </w:r>
      <w:r w:rsidR="00AE4AFF">
        <w:t>-o benéfico a ambas</w:t>
      </w:r>
      <w:r>
        <w:t xml:space="preserve"> as partes no processo educacional.</w:t>
      </w:r>
    </w:p>
    <w:p w14:paraId="00000020" w14:textId="7815F84B" w:rsidR="00D06786" w:rsidRDefault="004536E7">
      <w:r>
        <w:t xml:space="preserve">Nesse sentido, o caso para ensino é uma importante ferramenta para </w:t>
      </w:r>
      <w:r w:rsidR="00AE4AFF">
        <w:t xml:space="preserve">romper com a </w:t>
      </w:r>
      <w:r>
        <w:t>monotonia d</w:t>
      </w:r>
      <w:r w:rsidR="00AE4AFF">
        <w:t>os</w:t>
      </w:r>
      <w:r>
        <w:t xml:space="preserve"> métodos educacionais</w:t>
      </w:r>
      <w:r w:rsidR="00AE4AFF">
        <w:t xml:space="preserve"> tradicionais</w:t>
      </w:r>
      <w:r w:rsidR="008B08CE">
        <w:t xml:space="preserve"> e para inverter o protagonismo dentro de sala de aula</w:t>
      </w:r>
      <w:r w:rsidR="00AE4AFF">
        <w:t xml:space="preserve">, </w:t>
      </w:r>
      <w:r>
        <w:t xml:space="preserve">de </w:t>
      </w:r>
      <w:r w:rsidR="00AE4AFF">
        <w:t>f</w:t>
      </w:r>
      <w:r>
        <w:t xml:space="preserve">orma que o aluno </w:t>
      </w:r>
      <w:r w:rsidR="00AE4AFF">
        <w:t xml:space="preserve">é </w:t>
      </w:r>
      <w:r w:rsidR="008B08CE">
        <w:t>animado a atuar como agente ativo da metodologia aplicada. Outrossim, o discente, ao s</w:t>
      </w:r>
      <w:r>
        <w:t>air d</w:t>
      </w:r>
      <w:r w:rsidR="008B08CE">
        <w:t>e</w:t>
      </w:r>
      <w:r>
        <w:t xml:space="preserve"> sua área de conforto</w:t>
      </w:r>
      <w:r w:rsidR="008B08CE">
        <w:t xml:space="preserve">, desenvolve potenciais </w:t>
      </w:r>
      <w:r>
        <w:t>habilidades não estimuladas</w:t>
      </w:r>
      <w:r w:rsidR="008B08CE">
        <w:t>,</w:t>
      </w:r>
      <w:r>
        <w:t xml:space="preserve"> até então</w:t>
      </w:r>
      <w:r w:rsidR="008B08CE">
        <w:t xml:space="preserve">, no </w:t>
      </w:r>
      <w:r>
        <w:t>ambiente de sala de aula.</w:t>
      </w:r>
    </w:p>
    <w:p w14:paraId="31BA4A8B" w14:textId="5EC6D2E0" w:rsidR="009D513F" w:rsidRDefault="004536E7">
      <w:r>
        <w:t xml:space="preserve">No âmbito jurídico, a utilização desse método é creditada a Christopher Columbus </w:t>
      </w:r>
      <w:proofErr w:type="spellStart"/>
      <w:r>
        <w:t>Langdell</w:t>
      </w:r>
      <w:proofErr w:type="spellEnd"/>
      <w:r>
        <w:t xml:space="preserve">, que o empregou em seu curso sobre contratos na </w:t>
      </w:r>
      <w:r>
        <w:rPr>
          <w:i/>
        </w:rPr>
        <w:t xml:space="preserve">Harvard Law </w:t>
      </w:r>
      <w:proofErr w:type="spellStart"/>
      <w:r>
        <w:rPr>
          <w:i/>
        </w:rPr>
        <w:t>School</w:t>
      </w:r>
      <w:proofErr w:type="spellEnd"/>
      <w:r>
        <w:t>. Esse método é considerado uma ferramenta didática que visa ensinar habilidades direcionadas para o desenvolvimento e a prática do raciocínio jurídico através da análise de decisões judiciais (</w:t>
      </w:r>
      <w:r w:rsidR="009C4829">
        <w:t>Ramo</w:t>
      </w:r>
      <w:r w:rsidR="00370DAA">
        <w:t xml:space="preserve">s; </w:t>
      </w:r>
      <w:proofErr w:type="spellStart"/>
      <w:r w:rsidR="009C4829">
        <w:t>Schorscher</w:t>
      </w:r>
      <w:proofErr w:type="spellEnd"/>
      <w:r w:rsidR="00370DAA">
        <w:t>,</w:t>
      </w:r>
      <w:r w:rsidR="009C4829">
        <w:t xml:space="preserve"> 20</w:t>
      </w:r>
      <w:r>
        <w:t xml:space="preserve">20). </w:t>
      </w:r>
    </w:p>
    <w:p w14:paraId="00000021" w14:textId="3D61C730" w:rsidR="00D06786" w:rsidRDefault="004536E7">
      <w:r>
        <w:t>Contemporaneamente, o método d</w:t>
      </w:r>
      <w:r w:rsidR="009D513F">
        <w:t>e</w:t>
      </w:r>
      <w:r>
        <w:t xml:space="preserve"> caso</w:t>
      </w:r>
      <w:r w:rsidR="009D513F">
        <w:t>s</w:t>
      </w:r>
      <w:r>
        <w:t xml:space="preserve"> não se limita apenas a comentários de julgados já realizados, </w:t>
      </w:r>
      <w:r w:rsidR="009D513F">
        <w:t xml:space="preserve">mas </w:t>
      </w:r>
      <w:r>
        <w:t>engloba</w:t>
      </w:r>
      <w:r w:rsidR="009D513F">
        <w:t xml:space="preserve"> situações </w:t>
      </w:r>
      <w:r>
        <w:t>jurídica</w:t>
      </w:r>
      <w:r w:rsidR="009D513F">
        <w:t>s</w:t>
      </w:r>
      <w:r>
        <w:t xml:space="preserve"> como um todo, com </w:t>
      </w:r>
      <w:r w:rsidR="009D513F">
        <w:t xml:space="preserve">o acréscimo de </w:t>
      </w:r>
      <w:r>
        <w:t xml:space="preserve">circunstâncias </w:t>
      </w:r>
      <w:r w:rsidR="00904BE5">
        <w:t>acessórias</w:t>
      </w:r>
      <w:r>
        <w:t xml:space="preserve"> para envolver </w:t>
      </w:r>
      <w:r w:rsidR="00904BE5">
        <w:t>e aprofundar a problemática proposta</w:t>
      </w:r>
      <w:r w:rsidR="009D513F">
        <w:t xml:space="preserve">. Vale dizer que a atuação não se resume apenas à esfera </w:t>
      </w:r>
      <w:r>
        <w:t xml:space="preserve">judicial, </w:t>
      </w:r>
      <w:r w:rsidR="009D513F">
        <w:t xml:space="preserve">vez que a maioria dos conflitos </w:t>
      </w:r>
      <w:r w:rsidR="00904BE5">
        <w:t>atuais</w:t>
      </w:r>
      <w:r w:rsidR="009D513F">
        <w:t xml:space="preserve"> demanda </w:t>
      </w:r>
      <w:r>
        <w:t>soluções extrajudiciais.</w:t>
      </w:r>
    </w:p>
    <w:p w14:paraId="00000022" w14:textId="31626FCF" w:rsidR="00D06786" w:rsidRDefault="004536E7">
      <w:pPr>
        <w:ind w:firstLine="0"/>
      </w:pPr>
      <w:r>
        <w:rPr>
          <w:color w:val="FF0000"/>
        </w:rPr>
        <w:tab/>
      </w:r>
      <w:r w:rsidR="0013417F">
        <w:t>F</w:t>
      </w:r>
      <w:r>
        <w:t xml:space="preserve">rente a tais </w:t>
      </w:r>
      <w:r w:rsidR="0013417F">
        <w:t>constatações</w:t>
      </w:r>
      <w:r>
        <w:t xml:space="preserve">, </w:t>
      </w:r>
      <w:r w:rsidR="0013417F">
        <w:t>vale dizer que este c</w:t>
      </w:r>
      <w:r>
        <w:t xml:space="preserve">aso para ensino tomou como base dois </w:t>
      </w:r>
      <w:r w:rsidR="0013417F">
        <w:t>acórdãos proferidos por diferentes tribunais</w:t>
      </w:r>
      <w:r>
        <w:t xml:space="preserve">: </w:t>
      </w:r>
      <w:r w:rsidR="0013417F">
        <w:t xml:space="preserve">(i) </w:t>
      </w:r>
      <w:r>
        <w:t>Recurso Cível 2007.06.1.0045381-8</w:t>
      </w:r>
      <w:r w:rsidR="0013417F">
        <w:t>, julgado pela 2ª Turma Recursal dos Juizados Especiais Cíveis e Criminais</w:t>
      </w:r>
      <w:r>
        <w:t xml:space="preserve"> do Tribunal de Justiça do Distrito Federal e dos Territórios</w:t>
      </w:r>
      <w:r w:rsidR="0013417F">
        <w:t>; (</w:t>
      </w:r>
      <w:proofErr w:type="spellStart"/>
      <w:r w:rsidR="0013417F">
        <w:t>ii</w:t>
      </w:r>
      <w:proofErr w:type="spellEnd"/>
      <w:r w:rsidR="0013417F">
        <w:t xml:space="preserve">) Recurso Especial 2067181/PR, julgado pelo Superior </w:t>
      </w:r>
      <w:r>
        <w:t xml:space="preserve">Tribunal de Justiça. </w:t>
      </w:r>
      <w:r w:rsidR="0013417F">
        <w:t xml:space="preserve">Por oportuno, é de se </w:t>
      </w:r>
      <w:r>
        <w:t>ressaltar</w:t>
      </w:r>
      <w:r w:rsidR="0013417F">
        <w:t xml:space="preserve"> </w:t>
      </w:r>
      <w:r>
        <w:t>que foram realizadas adaptações para moldar as circunstâncias dos julgados à dinâmica prop</w:t>
      </w:r>
      <w:r w:rsidR="0013417F">
        <w:t>osta</w:t>
      </w:r>
      <w:r>
        <w:t>.</w:t>
      </w:r>
    </w:p>
    <w:p w14:paraId="00000023" w14:textId="2F117EE6" w:rsidR="00D06786" w:rsidRDefault="004536E7">
      <w:pPr>
        <w:ind w:firstLine="0"/>
      </w:pPr>
      <w:r>
        <w:tab/>
        <w:t xml:space="preserve">Ante o exposto, </w:t>
      </w:r>
      <w:r w:rsidR="00B5720B">
        <w:t>conclui</w:t>
      </w:r>
      <w:r w:rsidR="00E7589C">
        <w:t>-se</w:t>
      </w:r>
      <w:r w:rsidR="00B5720B">
        <w:t xml:space="preserve"> que a situação hipotética construída demonstra </w:t>
      </w:r>
      <w:r>
        <w:t xml:space="preserve">uma </w:t>
      </w:r>
      <w:r w:rsidR="00B5720B">
        <w:t xml:space="preserve">realidade experienciada por diversos cidadãos e concessionárias brasileiros no processo de aquisição de seus veículos. Não obstante, o diferencial do caso é a </w:t>
      </w:r>
      <w:r>
        <w:t>presença d</w:t>
      </w:r>
      <w:r w:rsidR="00B5720B">
        <w:t xml:space="preserve">as plataformas </w:t>
      </w:r>
      <w:r>
        <w:t xml:space="preserve">digitais </w:t>
      </w:r>
      <w:r w:rsidR="00B5720B">
        <w:t xml:space="preserve">como ferramenta </w:t>
      </w:r>
      <w:r>
        <w:t xml:space="preserve">que viabiliza </w:t>
      </w:r>
      <w:r w:rsidR="00B5720B">
        <w:t xml:space="preserve">anúncios, compras e vendas, </w:t>
      </w:r>
      <w:r>
        <w:t xml:space="preserve">como é o caso da OLX. </w:t>
      </w:r>
      <w:r w:rsidR="00B5720B">
        <w:t xml:space="preserve">Assim, o intuito final é </w:t>
      </w:r>
      <w:r>
        <w:t>fazer com que o aluno vislumbre os desdobramentos legais</w:t>
      </w:r>
      <w:r w:rsidR="00B5720B">
        <w:t xml:space="preserve"> e jurídicos desse cenário cotidiano</w:t>
      </w:r>
      <w:r>
        <w:t>.</w:t>
      </w:r>
    </w:p>
    <w:p w14:paraId="0C5C3A50" w14:textId="77777777" w:rsidR="00556F0E" w:rsidRDefault="00556F0E">
      <w:pPr>
        <w:ind w:firstLine="0"/>
      </w:pPr>
    </w:p>
    <w:p w14:paraId="00000024" w14:textId="21838701" w:rsidR="00D06786" w:rsidRPr="00556F0E" w:rsidRDefault="004536E7">
      <w:pPr>
        <w:keepNext/>
        <w:keepLines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Cs/>
        </w:rPr>
      </w:pPr>
      <w:r w:rsidRPr="00556F0E">
        <w:rPr>
          <w:bCs/>
        </w:rPr>
        <w:lastRenderedPageBreak/>
        <w:t>O</w:t>
      </w:r>
      <w:r w:rsidR="00556F0E" w:rsidRPr="00556F0E">
        <w:rPr>
          <w:bCs/>
        </w:rPr>
        <w:t xml:space="preserve">BJETIVOS EDUCACIONAIS </w:t>
      </w:r>
    </w:p>
    <w:p w14:paraId="00000025" w14:textId="10CC8B4B" w:rsidR="00D06786" w:rsidRDefault="004536E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 perspectiva atual da educação vai além da simples transmissão de conhecimento (saber)</w:t>
      </w:r>
      <w:r w:rsidR="009F7D8D">
        <w:rPr>
          <w:color w:val="000000"/>
        </w:rPr>
        <w:t xml:space="preserve">, posto que também </w:t>
      </w:r>
      <w:r>
        <w:rPr>
          <w:color w:val="000000"/>
        </w:rPr>
        <w:t>abrange a formação de habilidades (saber fazer) e o desenvolvimento de comportamentos (saber ser), como apontam Assmann e Sung (2000)</w:t>
      </w:r>
      <w:r w:rsidR="009F7D8D">
        <w:rPr>
          <w:color w:val="000000"/>
        </w:rPr>
        <w:t xml:space="preserve">. Isso se dá </w:t>
      </w:r>
      <w:r>
        <w:rPr>
          <w:color w:val="000000"/>
        </w:rPr>
        <w:t>com o objetivo de superar o conteúdo debatido em sala de aula e alcançar o que realmente vai ser vivenciado pelos alunos</w:t>
      </w:r>
      <w:r w:rsidR="009F7D8D">
        <w:rPr>
          <w:color w:val="000000"/>
        </w:rPr>
        <w:t xml:space="preserve"> na prática</w:t>
      </w:r>
      <w:r>
        <w:rPr>
          <w:color w:val="000000"/>
        </w:rPr>
        <w:t>, quando saírem da posição de discente</w:t>
      </w:r>
      <w:r w:rsidR="009F7D8D">
        <w:rPr>
          <w:color w:val="000000"/>
        </w:rPr>
        <w:t xml:space="preserve">s e ingressarem </w:t>
      </w:r>
      <w:r w:rsidR="000B3D80">
        <w:rPr>
          <w:color w:val="000000"/>
        </w:rPr>
        <w:t xml:space="preserve">efetivamente </w:t>
      </w:r>
      <w:r w:rsidR="009F7D8D">
        <w:rPr>
          <w:color w:val="000000"/>
        </w:rPr>
        <w:t xml:space="preserve">na de </w:t>
      </w:r>
      <w:r>
        <w:rPr>
          <w:color w:val="000000"/>
        </w:rPr>
        <w:t>operador</w:t>
      </w:r>
      <w:r w:rsidR="009F7D8D">
        <w:rPr>
          <w:color w:val="000000"/>
        </w:rPr>
        <w:t>es</w:t>
      </w:r>
      <w:r>
        <w:rPr>
          <w:color w:val="000000"/>
        </w:rPr>
        <w:t xml:space="preserve"> do direito.</w:t>
      </w:r>
    </w:p>
    <w:p w14:paraId="00000027" w14:textId="60447352" w:rsidR="00D06786" w:rsidRDefault="004536E7">
      <w:r>
        <w:t>O presente caso tem como um de seus objetivos a análise</w:t>
      </w:r>
      <w:r w:rsidR="005158F8">
        <w:t>,</w:t>
      </w:r>
      <w:r>
        <w:t xml:space="preserve"> pelo discente</w:t>
      </w:r>
      <w:r w:rsidR="005158F8">
        <w:t>,</w:t>
      </w:r>
      <w:r>
        <w:t xml:space="preserve"> dos aspectos sociais e jurídicos envolvidos na problemática, especialmente com relação à reflexão dos institutos jurídicos presentes na situação. </w:t>
      </w:r>
      <w:r w:rsidR="005158F8">
        <w:t xml:space="preserve">Igualmente, se pretende </w:t>
      </w:r>
      <w:r>
        <w:t xml:space="preserve">estimular que os participantes desenvolvam capacidades importantes para </w:t>
      </w:r>
      <w:r w:rsidR="005158F8">
        <w:t>su</w:t>
      </w:r>
      <w:r>
        <w:t>a formação técnico</w:t>
      </w:r>
      <w:r w:rsidR="005158F8">
        <w:t>-</w:t>
      </w:r>
      <w:r>
        <w:t xml:space="preserve">profissional, ultrapassando a aplicação </w:t>
      </w:r>
      <w:r w:rsidR="00D3148D">
        <w:t xml:space="preserve">acrítica </w:t>
      </w:r>
      <w:r>
        <w:t>de meros instrumentos jurídicos</w:t>
      </w:r>
      <w:r w:rsidR="00D3148D">
        <w:t xml:space="preserve"> e valorizando a efetiva </w:t>
      </w:r>
      <w:r>
        <w:t>resolução jurídica da lide</w:t>
      </w:r>
      <w:r w:rsidR="00D3148D">
        <w:t xml:space="preserve"> (judicial e extrajudicialmente)</w:t>
      </w:r>
      <w:r>
        <w:t xml:space="preserve">, </w:t>
      </w:r>
      <w:r w:rsidR="005158F8">
        <w:t xml:space="preserve">sempre </w:t>
      </w:r>
      <w:r>
        <w:t xml:space="preserve">com </w:t>
      </w:r>
      <w:r w:rsidR="00D3148D">
        <w:t xml:space="preserve">ênfase no </w:t>
      </w:r>
      <w:r>
        <w:t>domínio legal e jurisprudencial</w:t>
      </w:r>
      <w:r w:rsidR="00D3148D">
        <w:t>.</w:t>
      </w:r>
    </w:p>
    <w:p w14:paraId="00000028" w14:textId="5F19E09F" w:rsidR="00D06786" w:rsidRDefault="00952738">
      <w:r>
        <w:t xml:space="preserve">Para além do exposto, </w:t>
      </w:r>
      <w:r w:rsidR="005A4DA9">
        <w:t xml:space="preserve">vale </w:t>
      </w:r>
      <w:r>
        <w:t>acrescent</w:t>
      </w:r>
      <w:r w:rsidR="005A4DA9">
        <w:t>ar</w:t>
      </w:r>
      <w:r>
        <w:t xml:space="preserve"> a intenção de sair de um cenário de apresentação teórica da temática, tão presente no ensino do Direito, e passar para um cenário de resolução prática, no qual o discente é o tomador de decisões. Por isso, este caso para ensino foi moldado para abordar e proporcionar o mencionado cenário de aprendizagem às disciplinas de contratos, especificamente nas demandas cíveis.</w:t>
      </w:r>
    </w:p>
    <w:p w14:paraId="4B615EA7" w14:textId="77777777" w:rsidR="00556F0E" w:rsidRDefault="00556F0E" w:rsidP="00556F0E">
      <w:pPr>
        <w:tabs>
          <w:tab w:val="left" w:pos="851"/>
        </w:tabs>
      </w:pPr>
    </w:p>
    <w:p w14:paraId="71790707" w14:textId="77777777" w:rsidR="00556F0E" w:rsidRDefault="00556F0E" w:rsidP="00556F0E">
      <w:pPr>
        <w:tabs>
          <w:tab w:val="left" w:pos="851"/>
        </w:tabs>
        <w:ind w:firstLine="0"/>
      </w:pPr>
      <w:r>
        <w:t>2.2 DISCIPLINAS E POSSIBILIDADES DE APLICAÇÃO DO CASO</w:t>
      </w:r>
    </w:p>
    <w:p w14:paraId="0000002A" w14:textId="427D8590" w:rsidR="00D06786" w:rsidRDefault="004536E7">
      <w:r>
        <w:t>O presente caso de ensino foi formatado para aplicação nas disciplinas de Direito Civil, especialmente em Obrigações (Direito Civil II) e em Contratos (Direito Civil III</w:t>
      </w:r>
      <w:r w:rsidR="00CA5A86">
        <w:t xml:space="preserve"> e</w:t>
      </w:r>
      <w:r>
        <w:t xml:space="preserve"> Direito Civil IV).</w:t>
      </w:r>
    </w:p>
    <w:p w14:paraId="0000002B" w14:textId="01F5DC22" w:rsidR="00D06786" w:rsidRDefault="00CA5A86">
      <w:r>
        <w:t xml:space="preserve">Apesar disso, é cabível a sua utilização na disciplina de Responsabilidade Civil (Direito Civil VIII), visto que consiste em aplicações específicas das formas de inadimplemento contratual ou responsabilidade extracontratual em áreas determinadas. </w:t>
      </w:r>
      <w:r>
        <w:rPr>
          <w:i/>
          <w:iCs/>
        </w:rPr>
        <w:t xml:space="preserve">In </w:t>
      </w:r>
      <w:proofErr w:type="spellStart"/>
      <w:r>
        <w:rPr>
          <w:i/>
          <w:iCs/>
        </w:rPr>
        <w:t>casu</w:t>
      </w:r>
      <w:proofErr w:type="spellEnd"/>
      <w:r>
        <w:t>, também se mostra possível a indenização por perdas e danos, decorrente da má-fé na venda de objetos com vícios ocultos.</w:t>
      </w:r>
    </w:p>
    <w:p w14:paraId="0000002C" w14:textId="021C331A" w:rsidR="00D06786" w:rsidRDefault="00CA5A86" w:rsidP="00C6626C">
      <w:r>
        <w:t xml:space="preserve">Ademais, o caso de ensino pode ser utilizado nas disciplinas de prática jurídica que envolvam aspectos do </w:t>
      </w:r>
      <w:r w:rsidR="002C568E">
        <w:t>D</w:t>
      </w:r>
      <w:r>
        <w:t xml:space="preserve">ireito </w:t>
      </w:r>
      <w:r w:rsidR="002C568E">
        <w:t>C</w:t>
      </w:r>
      <w:r>
        <w:t>ivil, como são as disciplinas de</w:t>
      </w:r>
      <w:r w:rsidR="00560F6E">
        <w:t xml:space="preserve"> Autocomposição de Conflitos: Negociação, </w:t>
      </w:r>
      <w:r w:rsidR="00560F6E">
        <w:lastRenderedPageBreak/>
        <w:t xml:space="preserve">Conciliação e Mediação (DPR3102), </w:t>
      </w:r>
      <w:r>
        <w:t>Análise de Casos Concretos I (DPR3217) e Análise de Casos Concretos II (DPR3307).</w:t>
      </w:r>
    </w:p>
    <w:p w14:paraId="071CC074" w14:textId="77777777" w:rsidR="00556F0E" w:rsidRDefault="00556F0E" w:rsidP="00556F0E">
      <w:pPr>
        <w:shd w:val="clear" w:color="auto" w:fill="FFFFFF"/>
        <w:spacing w:after="200"/>
        <w:ind w:firstLine="0"/>
      </w:pPr>
    </w:p>
    <w:p w14:paraId="607E0374" w14:textId="28C4206D" w:rsidR="00556F0E" w:rsidRDefault="00556F0E" w:rsidP="00556F0E">
      <w:pPr>
        <w:shd w:val="clear" w:color="auto" w:fill="FFFFFF"/>
        <w:spacing w:after="200"/>
        <w:ind w:firstLine="0"/>
        <w:rPr>
          <w:b/>
        </w:rPr>
      </w:pPr>
      <w:r>
        <w:t>2.3 ASPECTOS PEDAGÓGICOS PARA A APLICAÇÃO</w:t>
      </w:r>
    </w:p>
    <w:p w14:paraId="077F77D2" w14:textId="77777777" w:rsidR="00F77A42" w:rsidRDefault="004536E7" w:rsidP="00F77A42">
      <w:r>
        <w:t>A duração da aplicação des</w:t>
      </w:r>
      <w:r w:rsidR="00F77A42">
        <w:t>t</w:t>
      </w:r>
      <w:r>
        <w:t>e caso é de aproximadamente uma hora e quarenta minutos, o equivalente a duas aulas padrão. Esse período é suficiente para que os alunos possam se aprofundar no problema apresentado e buscar soluções de forma colaborativa.</w:t>
      </w:r>
      <w:r w:rsidR="00F77A42">
        <w:t xml:space="preserve"> </w:t>
      </w:r>
      <w:r>
        <w:t xml:space="preserve">Para </w:t>
      </w:r>
      <w:r w:rsidR="00F77A42">
        <w:t>su</w:t>
      </w:r>
      <w:r>
        <w:t>a execução</w:t>
      </w:r>
      <w:r w:rsidR="00F77A42">
        <w:t>,</w:t>
      </w:r>
      <w:r>
        <w:t xml:space="preserve"> é necessário que a sala seja dividida em grupos</w:t>
      </w:r>
      <w:r w:rsidR="00F77A42">
        <w:t>.</w:t>
      </w:r>
    </w:p>
    <w:p w14:paraId="44AF4248" w14:textId="71B6193F" w:rsidR="00F77A42" w:rsidRDefault="004536E7" w:rsidP="00F77A42">
      <w:r>
        <w:t>A execução da simulação precisará de dois grupos que representarão, respectivamente, Cícero e João. Os dois grupos deverão ser orientados, cada um, por um tutor, que explicará quais as condutas a serem seguidas por cada um no momento da simulação</w:t>
      </w:r>
      <w:r w:rsidR="00F77A42">
        <w:t xml:space="preserve">. Desse modo, </w:t>
      </w:r>
      <w:r>
        <w:t xml:space="preserve">todas as informações necessárias para o entendimento e resolução do caso </w:t>
      </w:r>
      <w:r w:rsidR="00F77A42">
        <w:t xml:space="preserve">devem ser </w:t>
      </w:r>
      <w:r>
        <w:t>apresentadas na encenação, permitindo</w:t>
      </w:r>
      <w:r w:rsidR="00F77A42">
        <w:t>-se, contudo,</w:t>
      </w:r>
      <w:r>
        <w:t xml:space="preserve"> que os discentes acrescentem singularidades ao caso, acarretando </w:t>
      </w:r>
      <w:r w:rsidR="00F77A42">
        <w:t>resultados</w:t>
      </w:r>
      <w:r>
        <w:t xml:space="preserve"> diverso</w:t>
      </w:r>
      <w:r w:rsidR="00F77A42">
        <w:t>s</w:t>
      </w:r>
      <w:r>
        <w:t xml:space="preserve"> em cada simulação. </w:t>
      </w:r>
    </w:p>
    <w:p w14:paraId="00000031" w14:textId="6B3B19E6" w:rsidR="00D06786" w:rsidRDefault="004536E7" w:rsidP="00F77A42">
      <w:r>
        <w:t xml:space="preserve">No caso, será abordado o momento em que Cícero </w:t>
      </w:r>
      <w:r w:rsidR="00F77A42">
        <w:t xml:space="preserve">se </w:t>
      </w:r>
      <w:r>
        <w:t>encontra pessoalmente com João</w:t>
      </w:r>
      <w:r w:rsidR="00F77A42">
        <w:t xml:space="preserve"> </w:t>
      </w:r>
      <w:r>
        <w:t>para verificar as condições do carro</w:t>
      </w:r>
      <w:r w:rsidR="00F77A42">
        <w:t xml:space="preserve"> e </w:t>
      </w:r>
      <w:r>
        <w:t>realizar a compra</w:t>
      </w:r>
      <w:r w:rsidR="00F77A42">
        <w:t>:</w:t>
      </w:r>
    </w:p>
    <w:p w14:paraId="00000032" w14:textId="630726E4" w:rsidR="00D06786" w:rsidRDefault="004536E7">
      <w:r>
        <w:rPr>
          <w:i/>
        </w:rPr>
        <w:t>Orientação para o grupo 1 (Cícero):</w:t>
      </w:r>
      <w:r>
        <w:t xml:space="preserve"> O tutor deve aconselhar o grupo a afirmar que é a sua primeira vez comprando um carro, sem ser diretamente na concessionária de veículos, bem como realizar perguntas quanto a integridade e funcionamento do carro. Deve ser pedido para dar uma volta no carro, a fim de ser constat</w:t>
      </w:r>
      <w:r w:rsidR="00F77A42">
        <w:t>ado</w:t>
      </w:r>
      <w:r>
        <w:t xml:space="preserve"> que não há presença de avarias em seu funcionamento. </w:t>
      </w:r>
      <w:r w:rsidR="00F77A42">
        <w:t>P</w:t>
      </w:r>
      <w:r>
        <w:t>or fim, realizar a compra.</w:t>
      </w:r>
    </w:p>
    <w:p w14:paraId="00000033" w14:textId="0618190A" w:rsidR="00D06786" w:rsidRDefault="004536E7">
      <w:r>
        <w:rPr>
          <w:i/>
        </w:rPr>
        <w:t>Orientação para o grupo 2 (João):</w:t>
      </w:r>
      <w:r>
        <w:t xml:space="preserve"> O grupo deve ser orientado a ter uma postura bem convincente e persuasiva e apresentar o carro para João</w:t>
      </w:r>
      <w:r w:rsidR="00F77A42">
        <w:t>,</w:t>
      </w:r>
      <w:r>
        <w:t xml:space="preserve"> enaltecendo todas as suas qualidades e </w:t>
      </w:r>
      <w:r w:rsidR="00F77A42">
        <w:t xml:space="preserve">os </w:t>
      </w:r>
      <w:r>
        <w:t>benefícios de adquiri-lo. Quanto à presença do vício oculto, é possível deixar a cargo do grupo, se já se tem conhecimento desse problema ou não, a fim de</w:t>
      </w:r>
      <w:r w:rsidR="00F77A42">
        <w:t xml:space="preserve">, </w:t>
      </w:r>
      <w:r>
        <w:t xml:space="preserve">em momento posterior </w:t>
      </w:r>
      <w:r w:rsidR="00F77A42">
        <w:t>à</w:t>
      </w:r>
      <w:r>
        <w:t xml:space="preserve"> dinâmica</w:t>
      </w:r>
      <w:r w:rsidR="00F77A42">
        <w:t xml:space="preserve">, </w:t>
      </w:r>
      <w:r>
        <w:t>analisar a conduta de João.</w:t>
      </w:r>
    </w:p>
    <w:p w14:paraId="7A993A08" w14:textId="71CDA303" w:rsidR="00F77A42" w:rsidRDefault="00F77A42" w:rsidP="005657E3">
      <w:r>
        <w:lastRenderedPageBreak/>
        <w:t xml:space="preserve">Posteriormente, ao final da simulação, será fornecido um questionário, o qual tem o objetivo de direcionar os alunos a encontrarem a resposta esperada do caso discutido. Assim, são postas perguntas iniciais, as quais irão se complementando até que todos os elementos necessários para a solução do caso tenham sido respondidos pelos alunos. Com isso, o aprendizado se dá não somente em relação ao que deve ser feito em determinada situação proposta, mas também em relação às razões que levaram a cada resultado. </w:t>
      </w:r>
    </w:p>
    <w:p w14:paraId="00000034" w14:textId="62696287" w:rsidR="00D06786" w:rsidRDefault="005657E3">
      <w:r>
        <w:t>Desta feita, pode-se dividir a aplicação do caso em algumas fases:</w:t>
      </w:r>
    </w:p>
    <w:p w14:paraId="00000035" w14:textId="1059B93B" w:rsidR="00D06786" w:rsidRDefault="004536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Fase 1: </w:t>
      </w:r>
      <w:r w:rsidR="005657E3">
        <w:t>e</w:t>
      </w:r>
      <w:r>
        <w:t>xplicações iniciais a todos na sala (10 min) sobre a intenção de Cícero em adquirir um carro.</w:t>
      </w:r>
    </w:p>
    <w:p w14:paraId="00000036" w14:textId="71E47E5B" w:rsidR="00D06786" w:rsidRDefault="004536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Fase 2: </w:t>
      </w:r>
      <w:r w:rsidR="005657E3">
        <w:t>o</w:t>
      </w:r>
      <w:r>
        <w:t xml:space="preserve">rientação dos grupos (20 min). Os tutores orientam, separadamente, fora da sala, cada grupo </w:t>
      </w:r>
      <w:r w:rsidR="005657E3">
        <w:t>(</w:t>
      </w:r>
      <w:r>
        <w:t>G1 e G2</w:t>
      </w:r>
      <w:r w:rsidR="005657E3">
        <w:t>)</w:t>
      </w:r>
      <w:r>
        <w:t>. Os demais grupos ficam na sala.</w:t>
      </w:r>
    </w:p>
    <w:p w14:paraId="00000037" w14:textId="4B53FE39" w:rsidR="00D06786" w:rsidRDefault="004536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Fase 3: </w:t>
      </w:r>
      <w:r w:rsidR="005657E3">
        <w:t>s</w:t>
      </w:r>
      <w:r>
        <w:t>imulação das tratativas entre Cícero e João</w:t>
      </w:r>
      <w:r w:rsidR="005657E3">
        <w:t xml:space="preserve"> e d</w:t>
      </w:r>
      <w:r>
        <w:t>a compra do carro. Conversa entre os grupos G1 e G2 (20 min).</w:t>
      </w:r>
    </w:p>
    <w:p w14:paraId="00000038" w14:textId="05C4369E" w:rsidR="00D06786" w:rsidRDefault="004536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Fase 4: </w:t>
      </w:r>
      <w:r w:rsidR="005657E3">
        <w:t>a</w:t>
      </w:r>
      <w:r>
        <w:t>presenta</w:t>
      </w:r>
      <w:r w:rsidR="005657E3">
        <w:t>ção d</w:t>
      </w:r>
      <w:r>
        <w:t>a situação-problema. Somente leitura no slide (5 min).</w:t>
      </w:r>
    </w:p>
    <w:p w14:paraId="00000039" w14:textId="360B0459" w:rsidR="00D06786" w:rsidRDefault="004536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Fase 5: </w:t>
      </w:r>
      <w:r w:rsidR="005657E3">
        <w:t>momento para d</w:t>
      </w:r>
      <w:r>
        <w:t>ebate (40 min)</w:t>
      </w:r>
      <w:r w:rsidR="005657E3">
        <w:t xml:space="preserve">, dividido em </w:t>
      </w:r>
      <w:r>
        <w:t>discussão interna nos grupos (20 minutos) e respostas às questões e debate com todos (20 minutos).</w:t>
      </w:r>
    </w:p>
    <w:p w14:paraId="457C56FE" w14:textId="77777777" w:rsidR="00556F0E" w:rsidRDefault="00556F0E">
      <w:pPr>
        <w:rPr>
          <w:b/>
        </w:rPr>
      </w:pPr>
    </w:p>
    <w:p w14:paraId="0F5E32BA" w14:textId="25783462" w:rsidR="00556F0E" w:rsidRDefault="00556F0E" w:rsidP="00556F0E">
      <w:pPr>
        <w:shd w:val="clear" w:color="auto" w:fill="FFFFFF"/>
        <w:spacing w:after="200"/>
      </w:pPr>
      <w:r>
        <w:t>2.4 ALTERNATIVA DE SOLUÇÃO PARA O CASO</w:t>
      </w:r>
    </w:p>
    <w:p w14:paraId="0000003B" w14:textId="4E2227D0" w:rsidR="00D06786" w:rsidRDefault="004536E7">
      <w:r>
        <w:t>A aplicação da simulação do caso para ensino proporciona que cada situação enseje particularidades e subjetividades diferentes, o que dificulta a formulação de uma resposta singular aplicada igualmente para todos os casos. No entanto, pode-se esperar uma solução padrão com base nos referidos precedentes qualificados que embasaram o presente caso.</w:t>
      </w:r>
    </w:p>
    <w:p w14:paraId="50C9A9F3" w14:textId="627A7855" w:rsidR="009F7403" w:rsidRDefault="0098175C" w:rsidP="009F7403">
      <w:r>
        <w:t>P</w:t>
      </w:r>
      <w:r w:rsidR="00C63B45">
        <w:t xml:space="preserve">rimordialmente, reputa-se que </w:t>
      </w:r>
      <w:r w:rsidR="009F7403">
        <w:t>reconheçam que o caso aborda uma relação civil</w:t>
      </w:r>
      <w:r>
        <w:t xml:space="preserve"> </w:t>
      </w:r>
      <w:r w:rsidR="009F7403">
        <w:t xml:space="preserve">firmada </w:t>
      </w:r>
      <w:r>
        <w:t>entre</w:t>
      </w:r>
      <w:r w:rsidR="009F7403">
        <w:t xml:space="preserve"> particulares, não sendo o caso de aplicação do Código de Defesa do Consumidor.</w:t>
      </w:r>
      <w:r>
        <w:t xml:space="preserve"> Em continuidade, </w:t>
      </w:r>
      <w:r w:rsidR="00134891">
        <w:t xml:space="preserve">é necessário que os discentes enfrentem o dilema de decidir se o carro possui vício redibitório ou não, em contraposição com o direito de Cícero de adquirir um veículo em perfeito estado. </w:t>
      </w:r>
    </w:p>
    <w:p w14:paraId="31860874" w14:textId="1E4E4055" w:rsidR="009F7403" w:rsidRDefault="00134891" w:rsidP="009F7403">
      <w:r>
        <w:lastRenderedPageBreak/>
        <w:t>De mais a mais, devem, com base no Código Civil de 2002, analisar os desdobramentos legais do eventual posicionamento escolhido</w:t>
      </w:r>
      <w:r w:rsidR="0098175C">
        <w:t>: se se trata do</w:t>
      </w:r>
      <w:r w:rsidR="009F7403">
        <w:t xml:space="preserve"> caso de protocolar uma ação edilícia de caráter redibitório ou </w:t>
      </w:r>
      <w:proofErr w:type="spellStart"/>
      <w:r w:rsidR="009F7403">
        <w:t>estimatóri</w:t>
      </w:r>
      <w:r w:rsidR="0098175C">
        <w:t>o</w:t>
      </w:r>
      <w:proofErr w:type="spellEnd"/>
      <w:r w:rsidR="009F7403">
        <w:t>,</w:t>
      </w:r>
      <w:r w:rsidR="00EC187B">
        <w:t xml:space="preserve"> com o abatimento do preço</w:t>
      </w:r>
      <w:r w:rsidR="0098175C">
        <w:t>,</w:t>
      </w:r>
      <w:r w:rsidR="00EC187B">
        <w:t xml:space="preserve"> ou </w:t>
      </w:r>
      <w:r w:rsidR="0098175C">
        <w:t>d</w:t>
      </w:r>
      <w:r w:rsidR="00EC187B">
        <w:t xml:space="preserve">o </w:t>
      </w:r>
      <w:r w:rsidR="0098175C">
        <w:t xml:space="preserve">caso de </w:t>
      </w:r>
      <w:r w:rsidR="00EC187B">
        <w:t xml:space="preserve">desfazimento do negócio jurídico, com a devolução do carro e do pagamento. </w:t>
      </w:r>
      <w:r w:rsidR="0098175C">
        <w:t xml:space="preserve">Além disso, é importante estimular o alunado a verificar a </w:t>
      </w:r>
      <w:r w:rsidR="00EC187B">
        <w:t>viabilidade d</w:t>
      </w:r>
      <w:r w:rsidR="0098175C">
        <w:t>e um</w:t>
      </w:r>
      <w:r w:rsidR="00EC187B">
        <w:t>a</w:t>
      </w:r>
      <w:r w:rsidR="009F7403">
        <w:t xml:space="preserve"> resolução </w:t>
      </w:r>
      <w:r w:rsidR="0098175C">
        <w:t>na</w:t>
      </w:r>
      <w:r w:rsidR="009F7403">
        <w:t xml:space="preserve"> forma extrajudicial, </w:t>
      </w:r>
      <w:r w:rsidR="0098175C">
        <w:t xml:space="preserve">em razão de sua maior </w:t>
      </w:r>
      <w:r w:rsidR="009F7403">
        <w:t>celeridade e informalidade.</w:t>
      </w:r>
    </w:p>
    <w:p w14:paraId="44AB6322" w14:textId="193FBE14" w:rsidR="00AB0951" w:rsidRDefault="00AB0951" w:rsidP="009F7403">
      <w:r>
        <w:t>Outro ponto de importante debate diz respeito ao exame da conjectura e do prazo em que o vício se manifestou. Quanto a isso, é possível trilhar discussões acerca de</w:t>
      </w:r>
      <w:r w:rsidR="0016290E">
        <w:t xml:space="preserve"> quais seriam os desdobramentos diversos caso a </w:t>
      </w:r>
      <w:r>
        <w:t xml:space="preserve">situação </w:t>
      </w:r>
      <w:r w:rsidR="0016290E">
        <w:t xml:space="preserve">apresentada </w:t>
      </w:r>
      <w:r>
        <w:t>tivesse acontecido em momento posterior.</w:t>
      </w:r>
    </w:p>
    <w:p w14:paraId="0637C6AE" w14:textId="3615DB2E" w:rsidR="00705C0E" w:rsidRDefault="00705C0E" w:rsidP="009F7403">
      <w:r>
        <w:t xml:space="preserve">Por fim, </w:t>
      </w:r>
      <w:r w:rsidR="0016290E">
        <w:t>é relevante que os discentes</w:t>
      </w:r>
      <w:r>
        <w:t xml:space="preserve"> apurem que não houve má-fé</w:t>
      </w:r>
      <w:r w:rsidR="0016290E">
        <w:t xml:space="preserve"> por parte do devedor</w:t>
      </w:r>
      <w:r>
        <w:t xml:space="preserve">, </w:t>
      </w:r>
      <w:r w:rsidR="0016290E">
        <w:t xml:space="preserve">sendo esse </w:t>
      </w:r>
      <w:r>
        <w:t xml:space="preserve">mais um motivo para que procurem </w:t>
      </w:r>
      <w:r w:rsidR="0016290E">
        <w:t xml:space="preserve">por </w:t>
      </w:r>
      <w:r>
        <w:t xml:space="preserve">uma solução consensual. Para além disso, </w:t>
      </w:r>
      <w:r w:rsidR="0016290E">
        <w:t>também é preciso guiar os debates de modo que os sujeitos se certifiquem</w:t>
      </w:r>
      <w:r>
        <w:t xml:space="preserve"> </w:t>
      </w:r>
      <w:r w:rsidR="0016290E">
        <w:t xml:space="preserve">de </w:t>
      </w:r>
      <w:r>
        <w:t>que a plataforma OLX não pode ser responsabilizada no caso em questão</w:t>
      </w:r>
      <w:r w:rsidR="0016290E">
        <w:t xml:space="preserve">. Todavia, </w:t>
      </w:r>
      <w:r>
        <w:t>em uma situação em que a compra seja feita diretamente p</w:t>
      </w:r>
      <w:r w:rsidR="0016290E">
        <w:t>ela plataforma</w:t>
      </w:r>
      <w:r>
        <w:t>, seria possível sua responsabilização.</w:t>
      </w:r>
    </w:p>
    <w:p w14:paraId="7D119E0F" w14:textId="77777777" w:rsidR="00556F0E" w:rsidRDefault="00556F0E" w:rsidP="009F7403"/>
    <w:p w14:paraId="4A849DD4" w14:textId="77777777" w:rsidR="00556F0E" w:rsidRDefault="00556F0E" w:rsidP="00556F0E">
      <w:pPr>
        <w:shd w:val="clear" w:color="auto" w:fill="FFFFFF"/>
        <w:spacing w:after="200"/>
        <w:ind w:firstLine="0"/>
      </w:pPr>
      <w:r>
        <w:t>2.5 DISCUSSÃO E DECISÃO REAL DO CASO</w:t>
      </w:r>
    </w:p>
    <w:p w14:paraId="00000041" w14:textId="608B3E73" w:rsidR="00D06786" w:rsidRDefault="004536E7">
      <w:r>
        <w:t>A venda de carros entre particulares</w:t>
      </w:r>
      <w:r w:rsidR="00690FB3">
        <w:t xml:space="preserve"> </w:t>
      </w:r>
      <w:r>
        <w:t>é uma prática bastante comum no cotidiano brasileiro</w:t>
      </w:r>
      <w:r w:rsidR="00690FB3">
        <w:t>. To</w:t>
      </w:r>
      <w:r>
        <w:t xml:space="preserve">davia, </w:t>
      </w:r>
      <w:r w:rsidR="00690FB3">
        <w:t xml:space="preserve">se </w:t>
      </w:r>
      <w:r>
        <w:t>faz</w:t>
      </w:r>
      <w:r w:rsidR="00690FB3">
        <w:t xml:space="preserve"> </w:t>
      </w:r>
      <w:r>
        <w:t xml:space="preserve">necessário o estudo dos desdobramentos legais </w:t>
      </w:r>
      <w:r w:rsidR="00690FB3">
        <w:t xml:space="preserve">das vendas que ocorrem </w:t>
      </w:r>
      <w:r>
        <w:t>por intermédio de plataformas de vendas</w:t>
      </w:r>
      <w:r w:rsidR="00690FB3">
        <w:t>, uma vez</w:t>
      </w:r>
      <w:r>
        <w:t xml:space="preserve"> que os negócios jurídicos vêm se adaptando aos instrumentos tecnológicos.</w:t>
      </w:r>
    </w:p>
    <w:p w14:paraId="00000043" w14:textId="500D5A6B" w:rsidR="00D06786" w:rsidRDefault="004536E7" w:rsidP="00690FB3">
      <w:r>
        <w:t>A situação que inspirou o caso em questão não foi intermediada por nenhuma plataforma</w:t>
      </w:r>
      <w:r w:rsidR="00690FB3">
        <w:t xml:space="preserve"> de anúncios e intermédio de compras e vendas</w:t>
      </w:r>
      <w:r>
        <w:t xml:space="preserve">, </w:t>
      </w:r>
      <w:r w:rsidR="00690FB3">
        <w:t xml:space="preserve">porém, </w:t>
      </w:r>
      <w:r>
        <w:t>observando a presença cada vez maior dessas ferramentas</w:t>
      </w:r>
      <w:r w:rsidR="00690FB3">
        <w:t xml:space="preserve"> nas relações negociais</w:t>
      </w:r>
      <w:r>
        <w:t>,</w:t>
      </w:r>
      <w:r w:rsidR="00690FB3">
        <w:t xml:space="preserve"> incrementou-se a narrativa. Esta foi feita de modo tal que </w:t>
      </w:r>
      <w:r>
        <w:t>o carro apresentou defeito no tempo hábil,</w:t>
      </w:r>
      <w:r w:rsidR="00690FB3">
        <w:t xml:space="preserve"> o</w:t>
      </w:r>
      <w:r>
        <w:t xml:space="preserve"> que permite a responsabilização do vendedor. </w:t>
      </w:r>
      <w:r w:rsidR="00690FB3">
        <w:t xml:space="preserve">Vale </w:t>
      </w:r>
      <w:r>
        <w:t xml:space="preserve">pontuar que o defeito só se apresentou </w:t>
      </w:r>
      <w:r w:rsidR="00690FB3">
        <w:t>a</w:t>
      </w:r>
      <w:r>
        <w:t xml:space="preserve"> tempo para ensejar responsabilização</w:t>
      </w:r>
      <w:r w:rsidR="00690FB3">
        <w:t xml:space="preserve"> </w:t>
      </w:r>
      <w:r>
        <w:t>em detrimento de uma viagem, que permitiu vislumbrar a situação</w:t>
      </w:r>
      <w:r w:rsidR="00690FB3">
        <w:t xml:space="preserve"> defeituosa</w:t>
      </w:r>
      <w:r>
        <w:t xml:space="preserve"> do motor.</w:t>
      </w:r>
    </w:p>
    <w:p w14:paraId="00000044" w14:textId="70326B38" w:rsidR="00D06786" w:rsidRDefault="004536E7">
      <w:r>
        <w:lastRenderedPageBreak/>
        <w:t xml:space="preserve">Ademais, no caso em questão, </w:t>
      </w:r>
      <w:r w:rsidR="00865656">
        <w:t xml:space="preserve">propõe-se que não haja pleito </w:t>
      </w:r>
      <w:r>
        <w:t>judicial, de modo que a sua resolução se d</w:t>
      </w:r>
      <w:r w:rsidR="00865656">
        <w:t>ê</w:t>
      </w:r>
      <w:r>
        <w:t xml:space="preserve"> de forma extrajudicial e amigável, com a mera apresentação do</w:t>
      </w:r>
      <w:r w:rsidR="00865656">
        <w:t>s</w:t>
      </w:r>
      <w:r>
        <w:t xml:space="preserve"> instituto</w:t>
      </w:r>
      <w:r w:rsidR="00865656">
        <w:t>s</w:t>
      </w:r>
      <w:r>
        <w:t xml:space="preserve"> que regula</w:t>
      </w:r>
      <w:r w:rsidR="00865656">
        <w:t>m</w:t>
      </w:r>
      <w:r>
        <w:t xml:space="preserve"> esses procedimentos.</w:t>
      </w:r>
    </w:p>
    <w:p w14:paraId="12AD6478" w14:textId="42B0242A" w:rsidR="00690FB3" w:rsidRDefault="004536E7">
      <w:r>
        <w:t xml:space="preserve">Diante disso, é possível que os alunos levem o debate para vários rumos, uma vez que o caso motivador utilizado possui vasta riqueza teórica. Logo, é </w:t>
      </w:r>
      <w:r w:rsidR="00865656">
        <w:t>interessante</w:t>
      </w:r>
      <w:r>
        <w:t xml:space="preserve"> que o professor e tutores </w:t>
      </w:r>
      <w:r w:rsidR="00690FB3">
        <w:t>ponderem as discussões que</w:t>
      </w:r>
      <w:r w:rsidR="00782FBF">
        <w:t xml:space="preserve"> </w:t>
      </w:r>
      <w:r w:rsidR="00690FB3">
        <w:t>porventura</w:t>
      </w:r>
      <w:r w:rsidR="00782FBF">
        <w:t xml:space="preserve"> </w:t>
      </w:r>
      <w:r w:rsidR="00690FB3">
        <w:t xml:space="preserve">surjam, se </w:t>
      </w:r>
      <w:r>
        <w:t>atenta</w:t>
      </w:r>
      <w:r w:rsidR="00690FB3">
        <w:t>ndo</w:t>
      </w:r>
      <w:r>
        <w:t xml:space="preserve"> às questões pertinentes à solução adequada do caso para ensino</w:t>
      </w:r>
      <w:r w:rsidR="00690FB3">
        <w:t>.</w:t>
      </w:r>
    </w:p>
    <w:p w14:paraId="3A6B7764" w14:textId="77777777" w:rsidR="00024B9D" w:rsidRDefault="00024B9D"/>
    <w:p w14:paraId="47D0186F" w14:textId="77777777" w:rsidR="00024B9D" w:rsidRDefault="00024B9D" w:rsidP="00024B9D">
      <w:pPr>
        <w:shd w:val="clear" w:color="auto" w:fill="FFFFFF"/>
        <w:spacing w:after="200"/>
        <w:ind w:firstLine="0"/>
      </w:pPr>
      <w:r>
        <w:t xml:space="preserve">2.6 SUGESTÕES DE ASSUNTOS A SEREM TRABALHADOS </w:t>
      </w:r>
    </w:p>
    <w:p w14:paraId="00000047" w14:textId="1E191ADF" w:rsidR="00D06786" w:rsidRDefault="004536E7">
      <w:r>
        <w:t>Durante a realização da atividade</w:t>
      </w:r>
      <w:r w:rsidR="00782FBF">
        <w:t>,</w:t>
      </w:r>
      <w:r>
        <w:t xml:space="preserve"> o docente e os tutores</w:t>
      </w:r>
      <w:r w:rsidR="00782FBF">
        <w:t xml:space="preserve"> devem</w:t>
      </w:r>
      <w:r>
        <w:t xml:space="preserve"> incentivar os alunos a </w:t>
      </w:r>
      <w:proofErr w:type="gramStart"/>
      <w:r>
        <w:t>procurar</w:t>
      </w:r>
      <w:proofErr w:type="gramEnd"/>
      <w:r>
        <w:t xml:space="preserve"> outros aspectos e peculiaridades que envolv</w:t>
      </w:r>
      <w:r w:rsidR="00782FBF">
        <w:t>a</w:t>
      </w:r>
      <w:r>
        <w:t>m o contrato de compra e venda entre particulares e entre plataformas ou classificados. Dessa forma, além das próprias problemáticas apresentadas no caso, os alunos podem se debruçar sobre outras questões não destacadas no caso que envolv</w:t>
      </w:r>
      <w:r w:rsidR="00782FBF">
        <w:t>a</w:t>
      </w:r>
      <w:r>
        <w:t>m o estudo desse negócio jurídico.</w:t>
      </w:r>
    </w:p>
    <w:p w14:paraId="7D6D3825" w14:textId="77777777" w:rsidR="00024B9D" w:rsidRDefault="00024B9D" w:rsidP="00024B9D">
      <w:pPr>
        <w:spacing w:after="200"/>
        <w:ind w:firstLine="0"/>
      </w:pPr>
    </w:p>
    <w:p w14:paraId="175194EF" w14:textId="5DC58431" w:rsidR="00024B9D" w:rsidRDefault="00024B9D" w:rsidP="00024B9D">
      <w:pPr>
        <w:spacing w:after="200"/>
        <w:ind w:firstLine="0"/>
      </w:pPr>
      <w:r>
        <w:t>2.7 QUESTÕES PARA DISCUSSÃO DO CASO</w:t>
      </w:r>
    </w:p>
    <w:p w14:paraId="00000049" w14:textId="51A41F7C" w:rsidR="00D06786" w:rsidRDefault="004536E7">
      <w:r>
        <w:t xml:space="preserve">Para encaminhamento das discussões pelos discentes e para estruturar a resposta de cada um, </w:t>
      </w:r>
      <w:r w:rsidR="004D7684">
        <w:t xml:space="preserve">foram </w:t>
      </w:r>
      <w:r>
        <w:t>formula</w:t>
      </w:r>
      <w:r w:rsidR="004D7684">
        <w:t xml:space="preserve">das </w:t>
      </w:r>
      <w:r>
        <w:t>algumas questões que deverão ser abordadas na solução do problema:</w:t>
      </w:r>
    </w:p>
    <w:p w14:paraId="0000004A" w14:textId="77777777" w:rsidR="00D06786" w:rsidRDefault="004536E7">
      <w:pPr>
        <w:numPr>
          <w:ilvl w:val="0"/>
          <w:numId w:val="4"/>
        </w:numPr>
      </w:pPr>
      <w:r>
        <w:t>Qual a relação jurídica presente no caso (civil, consumo)?</w:t>
      </w:r>
    </w:p>
    <w:p w14:paraId="0000004B" w14:textId="77777777" w:rsidR="00D06786" w:rsidRDefault="004536E7">
      <w:pPr>
        <w:numPr>
          <w:ilvl w:val="0"/>
          <w:numId w:val="4"/>
        </w:numPr>
      </w:pPr>
      <w:r>
        <w:t>Qual a legislação aplicável ao caso?</w:t>
      </w:r>
    </w:p>
    <w:p w14:paraId="0000004C" w14:textId="2058B722" w:rsidR="00D06786" w:rsidRDefault="004536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Houve algum vício de consentimento (ex.: erro sobre qualidade essencial) ou vício social (ex.: simulação)?</w:t>
      </w:r>
    </w:p>
    <w:p w14:paraId="0000004D" w14:textId="06765A16" w:rsidR="00D06786" w:rsidRDefault="004536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Há algum defeito/vício no contrato que não seja vício de consentimento ou vício social?</w:t>
      </w:r>
    </w:p>
    <w:p w14:paraId="0000004E" w14:textId="77777777" w:rsidR="00D06786" w:rsidRDefault="004536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Quais as ações judiciais que Cícero poderia ajuizar contra João?</w:t>
      </w:r>
    </w:p>
    <w:p w14:paraId="0000004F" w14:textId="77777777" w:rsidR="00D06786" w:rsidRDefault="004536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Qual o prazo limite para ajuizar cada uma das ações judiciais possíveis?</w:t>
      </w:r>
    </w:p>
    <w:p w14:paraId="00000050" w14:textId="6BD8FB3A" w:rsidR="00D06786" w:rsidRDefault="004536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Caso Cícero não tivesse realizado essa viagem e o seu carro só viesse a apresentar problemas com 08 (oito) meses de uso, seria possível ajuizar alguma ação?</w:t>
      </w:r>
    </w:p>
    <w:p w14:paraId="00000051" w14:textId="59A71B91" w:rsidR="00D06786" w:rsidRDefault="004536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lastRenderedPageBreak/>
        <w:t> Se João já tivesse conhecimento desse problema à época da venda, teria algum desdobramento legal?</w:t>
      </w:r>
    </w:p>
    <w:p w14:paraId="7AD96981" w14:textId="006CFE32" w:rsidR="00C6626C" w:rsidRDefault="00C662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Seria possível chegar a uma resolução de forma consensual? Quais seriam os possíveis benefícios para João e para Cícero?</w:t>
      </w:r>
    </w:p>
    <w:p w14:paraId="00000052" w14:textId="62719A52" w:rsidR="00D06786" w:rsidRDefault="004D768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Seria possível que João e Cícero convencionassem o abatimento de preço, a fim de não pleitear em juízo avaria que se apresentasse posteriormente? Eventual convenção nesse sentido possui amparo legal?</w:t>
      </w:r>
    </w:p>
    <w:p w14:paraId="00000053" w14:textId="77777777" w:rsidR="00D06786" w:rsidRDefault="004536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A plataforma OLX tem alguma responsabilidade nesta situação? Pode ser considerada prestadora de serviço de intermediação? Há responsabilidade solidária </w:t>
      </w:r>
      <w:r>
        <w:t>entre o vendedor</w:t>
      </w:r>
      <w:r>
        <w:rPr>
          <w:color w:val="000000"/>
        </w:rPr>
        <w:t xml:space="preserve"> e a plataforma?</w:t>
      </w:r>
    </w:p>
    <w:p w14:paraId="149D59B6" w14:textId="425FBBA8" w:rsidR="00024B9D" w:rsidRDefault="004536E7" w:rsidP="004D768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 w:rsidRPr="00024B9D">
        <w:rPr>
          <w:color w:val="000000"/>
        </w:rPr>
        <w:t xml:space="preserve"> Se a compra tivesse sido feita diretamente pela plataforma, quais seriam os desdobramentos legais?</w:t>
      </w:r>
    </w:p>
    <w:p w14:paraId="6CE75480" w14:textId="77777777" w:rsidR="00024B9D" w:rsidRDefault="00024B9D" w:rsidP="00024B9D">
      <w:pPr>
        <w:pBdr>
          <w:top w:val="nil"/>
          <w:left w:val="nil"/>
          <w:bottom w:val="nil"/>
          <w:right w:val="nil"/>
          <w:between w:val="nil"/>
        </w:pBdr>
        <w:ind w:left="1211" w:firstLine="0"/>
      </w:pPr>
    </w:p>
    <w:p w14:paraId="00000056" w14:textId="77777777" w:rsidR="00D06786" w:rsidRDefault="004536E7">
      <w:r>
        <w:t>Optando-se por dividir a sala em cinco grupos, os grupos respondem aos questionamentos seguindo a ordem das perguntas:</w:t>
      </w:r>
    </w:p>
    <w:p w14:paraId="00000057" w14:textId="070D169B" w:rsidR="00D06786" w:rsidRDefault="004536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bookmarkStart w:id="1" w:name="_heading=h.gjdgxs" w:colFirst="0" w:colLast="0"/>
      <w:bookmarkEnd w:id="1"/>
      <w:r>
        <w:rPr>
          <w:color w:val="000000"/>
        </w:rPr>
        <w:t>G3: Perguntas 1, 6</w:t>
      </w:r>
      <w:r w:rsidR="004D7684">
        <w:rPr>
          <w:color w:val="000000"/>
        </w:rPr>
        <w:t xml:space="preserve"> e</w:t>
      </w:r>
      <w:r>
        <w:rPr>
          <w:color w:val="000000"/>
        </w:rPr>
        <w:t xml:space="preserve"> 11; </w:t>
      </w:r>
    </w:p>
    <w:p w14:paraId="00000058" w14:textId="76755693" w:rsidR="00D06786" w:rsidRDefault="004536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G4: Perguntas 2</w:t>
      </w:r>
      <w:r w:rsidR="00C6626C">
        <w:rPr>
          <w:color w:val="000000"/>
        </w:rPr>
        <w:t>,</w:t>
      </w:r>
      <w:r>
        <w:rPr>
          <w:color w:val="000000"/>
        </w:rPr>
        <w:t xml:space="preserve"> 7</w:t>
      </w:r>
      <w:r w:rsidR="00C6626C">
        <w:rPr>
          <w:color w:val="000000"/>
        </w:rPr>
        <w:t xml:space="preserve"> e 12</w:t>
      </w:r>
      <w:r>
        <w:rPr>
          <w:color w:val="000000"/>
        </w:rPr>
        <w:t>;</w:t>
      </w:r>
    </w:p>
    <w:p w14:paraId="00000059" w14:textId="722FEC33" w:rsidR="00D06786" w:rsidRDefault="004536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G5: Perguntas 3</w:t>
      </w:r>
      <w:r w:rsidR="004D7684">
        <w:rPr>
          <w:color w:val="000000"/>
        </w:rPr>
        <w:t xml:space="preserve"> e</w:t>
      </w:r>
      <w:r>
        <w:rPr>
          <w:color w:val="000000"/>
        </w:rPr>
        <w:t xml:space="preserve"> 8;</w:t>
      </w:r>
    </w:p>
    <w:p w14:paraId="0000005A" w14:textId="57F27654" w:rsidR="00D06786" w:rsidRDefault="004536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G1: Perguntas 4</w:t>
      </w:r>
      <w:r w:rsidR="004D7684">
        <w:rPr>
          <w:color w:val="000000"/>
        </w:rPr>
        <w:t xml:space="preserve"> e</w:t>
      </w:r>
      <w:r>
        <w:rPr>
          <w:color w:val="000000"/>
        </w:rPr>
        <w:t xml:space="preserve"> 9; </w:t>
      </w:r>
    </w:p>
    <w:p w14:paraId="0000005B" w14:textId="17A2C396" w:rsidR="00D06786" w:rsidRDefault="004536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G2: Perguntas 5</w:t>
      </w:r>
      <w:r w:rsidR="004D7684">
        <w:rPr>
          <w:color w:val="000000"/>
        </w:rPr>
        <w:t xml:space="preserve"> e</w:t>
      </w:r>
      <w:r>
        <w:rPr>
          <w:color w:val="000000"/>
        </w:rPr>
        <w:t xml:space="preserve"> 10</w:t>
      </w:r>
      <w:r w:rsidR="004D7684">
        <w:rPr>
          <w:color w:val="000000"/>
        </w:rPr>
        <w:t>.</w:t>
      </w:r>
    </w:p>
    <w:p w14:paraId="4C665432" w14:textId="77777777" w:rsidR="00024B9D" w:rsidRDefault="00024B9D" w:rsidP="00024B9D">
      <w:pPr>
        <w:spacing w:after="200"/>
      </w:pPr>
    </w:p>
    <w:p w14:paraId="69B627EE" w14:textId="0C26D0A6" w:rsidR="00024B9D" w:rsidRDefault="00024B9D" w:rsidP="00024B9D">
      <w:pPr>
        <w:spacing w:after="200"/>
      </w:pPr>
      <w:r>
        <w:t>2.8 INDICAÇÕES BIBLIOGRÁFICAS</w:t>
      </w:r>
    </w:p>
    <w:p w14:paraId="0000005D" w14:textId="5C03D739" w:rsidR="00D06786" w:rsidRDefault="004536E7">
      <w:r>
        <w:t xml:space="preserve">Para aplicação do presente caso de ensino, seja como fonte de leitura prévia, seja como fonte de consulta no momento da elaboração da solução do problema, </w:t>
      </w:r>
      <w:r w:rsidR="00892C36">
        <w:t xml:space="preserve">se </w:t>
      </w:r>
      <w:r>
        <w:t>indica as seguintes obras:</w:t>
      </w:r>
    </w:p>
    <w:p w14:paraId="0000005E" w14:textId="77777777" w:rsidR="00D06786" w:rsidRDefault="004536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222222"/>
        </w:rPr>
      </w:pPr>
      <w:r>
        <w:rPr>
          <w:color w:val="000000"/>
        </w:rPr>
        <w:t xml:space="preserve">AMARAL, Francisco. </w:t>
      </w:r>
      <w:r>
        <w:rPr>
          <w:b/>
          <w:color w:val="000000"/>
        </w:rPr>
        <w:t>Direito civil</w:t>
      </w:r>
      <w:r>
        <w:rPr>
          <w:color w:val="000000"/>
        </w:rPr>
        <w:t>: introdução. 5. ed. Rio de Janeiro: Renovar, 2004.</w:t>
      </w:r>
    </w:p>
    <w:p w14:paraId="0000005F" w14:textId="77777777" w:rsidR="00D06786" w:rsidRDefault="004536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222222"/>
        </w:rPr>
      </w:pPr>
      <w:r>
        <w:rPr>
          <w:color w:val="000000"/>
        </w:rPr>
        <w:t xml:space="preserve">BRAGA NETTO, Felipe Peixoto; FARIAS, Cristiano; ROSENVALD, Nelson. </w:t>
      </w:r>
      <w:r>
        <w:rPr>
          <w:b/>
          <w:color w:val="000000"/>
        </w:rPr>
        <w:t>Curso de direito civil</w:t>
      </w:r>
      <w:r>
        <w:rPr>
          <w:color w:val="000000"/>
        </w:rPr>
        <w:t>: responsabilidade civil</w:t>
      </w:r>
      <w:r>
        <w:rPr>
          <w:i/>
          <w:color w:val="000000"/>
        </w:rPr>
        <w:t xml:space="preserve">. </w:t>
      </w:r>
      <w:r>
        <w:rPr>
          <w:color w:val="000000"/>
        </w:rPr>
        <w:t>16. ed. Salvador: JusPodivm, 2022, v. 3.</w:t>
      </w:r>
    </w:p>
    <w:p w14:paraId="00000060" w14:textId="77777777" w:rsidR="00D06786" w:rsidRDefault="004536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222222"/>
        </w:rPr>
      </w:pPr>
      <w:r>
        <w:rPr>
          <w:color w:val="000000"/>
        </w:rPr>
        <w:lastRenderedPageBreak/>
        <w:t>FARIAS, Cristiano Chaves de; ROSENVALD, Nelson</w:t>
      </w:r>
      <w:r w:rsidRPr="004C7FF3">
        <w:rPr>
          <w:bCs/>
          <w:color w:val="000000"/>
        </w:rPr>
        <w:t>.</w:t>
      </w:r>
      <w:r>
        <w:rPr>
          <w:b/>
          <w:color w:val="000000"/>
        </w:rPr>
        <w:t xml:space="preserve"> Curso de direito civil</w:t>
      </w:r>
      <w:r>
        <w:rPr>
          <w:color w:val="000000"/>
        </w:rPr>
        <w:t xml:space="preserve">: contratos. 7. ed. Salvador: </w:t>
      </w:r>
      <w:proofErr w:type="spellStart"/>
      <w:r>
        <w:rPr>
          <w:color w:val="000000"/>
        </w:rPr>
        <w:t>Juspodivm</w:t>
      </w:r>
      <w:proofErr w:type="spellEnd"/>
      <w:r>
        <w:rPr>
          <w:color w:val="000000"/>
        </w:rPr>
        <w:t>, 2017, v. 4.</w:t>
      </w:r>
    </w:p>
    <w:p w14:paraId="00000061" w14:textId="77777777" w:rsidR="00D06786" w:rsidRDefault="004536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222222"/>
        </w:rPr>
      </w:pPr>
      <w:r>
        <w:rPr>
          <w:color w:val="000000"/>
        </w:rPr>
        <w:t xml:space="preserve">GOMES, Orlando. </w:t>
      </w:r>
      <w:r>
        <w:rPr>
          <w:b/>
          <w:color w:val="000000"/>
        </w:rPr>
        <w:t>Contratos</w:t>
      </w:r>
      <w:r>
        <w:rPr>
          <w:color w:val="000000"/>
        </w:rPr>
        <w:t>. 28. ed. Atualização de Edvaldo Brito. Rio de Janeiro: Forense, 2022.</w:t>
      </w:r>
    </w:p>
    <w:p w14:paraId="00000062" w14:textId="77777777" w:rsidR="00D06786" w:rsidRDefault="004536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222222"/>
        </w:rPr>
      </w:pPr>
      <w:r>
        <w:rPr>
          <w:color w:val="000000"/>
        </w:rPr>
        <w:t xml:space="preserve">LÔBO, Paulo Luiz Netto. </w:t>
      </w:r>
      <w:r>
        <w:rPr>
          <w:b/>
          <w:color w:val="000000"/>
        </w:rPr>
        <w:t>Direito Civil</w:t>
      </w:r>
      <w:r>
        <w:rPr>
          <w:color w:val="000000"/>
        </w:rPr>
        <w:t>: contratos. 7. ed. São Paulo: Saraiva Educação, 2021, v. 3</w:t>
      </w:r>
    </w:p>
    <w:p w14:paraId="00000063" w14:textId="77777777" w:rsidR="00D06786" w:rsidRDefault="004536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  <w:r>
        <w:rPr>
          <w:color w:val="000000"/>
        </w:rPr>
        <w:t xml:space="preserve">SCHREIBER, Anderson. </w:t>
      </w:r>
      <w:r>
        <w:rPr>
          <w:b/>
          <w:color w:val="000000"/>
        </w:rPr>
        <w:t>Manual de direito civil contemporâneo</w:t>
      </w:r>
      <w:r>
        <w:rPr>
          <w:color w:val="000000"/>
        </w:rPr>
        <w:t xml:space="preserve">. 5. ed. São Paulo: </w:t>
      </w:r>
      <w:proofErr w:type="spellStart"/>
      <w:r>
        <w:rPr>
          <w:color w:val="000000"/>
        </w:rPr>
        <w:t>SaraivaJur</w:t>
      </w:r>
      <w:proofErr w:type="spellEnd"/>
      <w:r>
        <w:rPr>
          <w:color w:val="000000"/>
        </w:rPr>
        <w:t>, 2022.</w:t>
      </w:r>
    </w:p>
    <w:p w14:paraId="00000064" w14:textId="77777777" w:rsidR="00D06786" w:rsidRDefault="004536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left"/>
        <w:rPr>
          <w:color w:val="222222"/>
        </w:rPr>
      </w:pPr>
      <w:r>
        <w:rPr>
          <w:color w:val="222222"/>
        </w:rPr>
        <w:t>TARTUCE, Flávio. </w:t>
      </w:r>
      <w:r>
        <w:rPr>
          <w:b/>
          <w:color w:val="222222"/>
        </w:rPr>
        <w:t>Direito Civil 3</w:t>
      </w:r>
      <w:r>
        <w:rPr>
          <w:color w:val="222222"/>
        </w:rPr>
        <w:t>: teoria geral dos contratos e contratos em espécie. 9. ed. São Paulo: Método, 2014, v. 3.</w:t>
      </w:r>
    </w:p>
    <w:p w14:paraId="6B791AAC" w14:textId="77777777" w:rsidR="00024B9D" w:rsidRDefault="00024B9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65" w14:textId="481F1518" w:rsidR="00D06786" w:rsidRDefault="004536E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As obras em questão fornecem uma base sólida para a atividade em questão, o que possibilita uma compreensão aprofundada e abrangente dessas áreas específicas do direito.</w:t>
      </w:r>
    </w:p>
    <w:p w14:paraId="00000067" w14:textId="68A978C1" w:rsidR="00D06786" w:rsidRPr="004C7FF3" w:rsidRDefault="004536E7" w:rsidP="004C7FF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 leitura prévia ou complementar desses textos mostra-se crucial para o desenvolvimento do presente caso para ensino, fornecendo informações essenciais e orientações fundamentais para lidar com questões relacionadas às obrigações civis e ao Direito Civil.</w:t>
      </w:r>
    </w:p>
    <w:p w14:paraId="6A27C6D6" w14:textId="77777777" w:rsidR="00024B9D" w:rsidRDefault="00024B9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ind w:left="432" w:hanging="432"/>
        <w:rPr>
          <w:b/>
          <w:color w:val="000000"/>
        </w:rPr>
      </w:pPr>
    </w:p>
    <w:p w14:paraId="00000068" w14:textId="20013A56" w:rsidR="00D06786" w:rsidRDefault="004536E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ind w:left="432" w:hanging="432"/>
        <w:rPr>
          <w:b/>
        </w:rPr>
      </w:pPr>
      <w:r>
        <w:rPr>
          <w:b/>
          <w:color w:val="000000"/>
        </w:rPr>
        <w:t>REFERÊNCIAS</w:t>
      </w:r>
    </w:p>
    <w:p w14:paraId="03AA8EB5" w14:textId="2153BA73" w:rsidR="00267B25" w:rsidRPr="00267B25" w:rsidRDefault="00267B25" w:rsidP="00267B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color w:val="000000"/>
        </w:rPr>
      </w:pPr>
      <w:r>
        <w:rPr>
          <w:color w:val="000000"/>
        </w:rPr>
        <w:t xml:space="preserve">ASSMANN, Hugo; SUNG, Jung </w:t>
      </w:r>
      <w:proofErr w:type="spellStart"/>
      <w:r>
        <w:rPr>
          <w:color w:val="000000"/>
        </w:rPr>
        <w:t>Mo</w:t>
      </w:r>
      <w:proofErr w:type="spellEnd"/>
      <w:r>
        <w:rPr>
          <w:color w:val="000000"/>
        </w:rPr>
        <w:t xml:space="preserve">. </w:t>
      </w:r>
      <w:r>
        <w:rPr>
          <w:b/>
          <w:color w:val="000000"/>
        </w:rPr>
        <w:t>Competência e sensibilidade solidária</w:t>
      </w:r>
      <w:r>
        <w:rPr>
          <w:color w:val="000000"/>
        </w:rPr>
        <w:t>: educar para a esperança. Petrópolis: Vozes, 2000.</w:t>
      </w:r>
    </w:p>
    <w:p w14:paraId="2156BB3C" w14:textId="0D9499C5" w:rsidR="004B0B71" w:rsidRDefault="004B0B71">
      <w:pPr>
        <w:spacing w:before="240" w:after="240" w:line="240" w:lineRule="auto"/>
        <w:ind w:firstLine="0"/>
        <w:jc w:val="left"/>
        <w:rPr>
          <w:color w:val="000000"/>
        </w:rPr>
      </w:pPr>
      <w:r>
        <w:rPr>
          <w:color w:val="000000"/>
        </w:rPr>
        <w:t xml:space="preserve">BRASIL. </w:t>
      </w:r>
      <w:r>
        <w:rPr>
          <w:b/>
          <w:bCs/>
          <w:color w:val="000000"/>
        </w:rPr>
        <w:t>Lei nº 10.406, de 10 de janeiro de 2002</w:t>
      </w:r>
      <w:r>
        <w:rPr>
          <w:color w:val="000000"/>
        </w:rPr>
        <w:t>. Institui o Código Civil. Diário Oficial da União: seção 1, Brasília, DF, ano 139, n. 8, p. 1-74, 11 jan. 2002. Disponível em: &lt;https://www.planalto.gov.br/ccivil_03/leis/2002/l10406compilada.htm&gt;. Acesso em: 26 out. 2023.</w:t>
      </w:r>
    </w:p>
    <w:p w14:paraId="0000006A" w14:textId="70FC7D10" w:rsidR="00D06786" w:rsidRDefault="004536E7">
      <w:pPr>
        <w:spacing w:before="240" w:after="240" w:line="240" w:lineRule="auto"/>
        <w:ind w:firstLine="0"/>
        <w:jc w:val="left"/>
      </w:pPr>
      <w:r>
        <w:t xml:space="preserve">BRASIL. Superior Tribunal de Justiça. </w:t>
      </w:r>
      <w:r>
        <w:rPr>
          <w:b/>
        </w:rPr>
        <w:t>Recurso Especial n° 206.781/PR</w:t>
      </w:r>
      <w:r>
        <w:t xml:space="preserve">. Terceira Turma. 08 ago. 2023. </w:t>
      </w:r>
      <w:proofErr w:type="spellStart"/>
      <w:r>
        <w:t>DJe</w:t>
      </w:r>
      <w:proofErr w:type="spellEnd"/>
      <w:r>
        <w:t>: 15 ago. 2023.</w:t>
      </w:r>
    </w:p>
    <w:p w14:paraId="40164873" w14:textId="7D16D325" w:rsidR="00C6626C" w:rsidRDefault="00C6626C" w:rsidP="004B0B71">
      <w:pPr>
        <w:spacing w:before="240" w:after="240" w:line="240" w:lineRule="auto"/>
        <w:ind w:firstLine="0"/>
      </w:pPr>
      <w:r>
        <w:lastRenderedPageBreak/>
        <w:t xml:space="preserve">BRASIL. Tribunal de Justiça do Distrito Federal e dos Territórios. </w:t>
      </w:r>
      <w:r w:rsidRPr="00267B25">
        <w:rPr>
          <w:b/>
          <w:bCs/>
        </w:rPr>
        <w:t>Recurso Cível nº 2007.06.1.0045381-8.</w:t>
      </w:r>
      <w:r>
        <w:t xml:space="preserve"> </w:t>
      </w:r>
      <w:r w:rsidR="00267B25">
        <w:t>Segunda Turma Recursal dos Juizados Especiais Cíveis e Criminais. DJDFTE: 21 jan. 2009.</w:t>
      </w:r>
    </w:p>
    <w:p w14:paraId="0000006C" w14:textId="77777777" w:rsidR="00D06786" w:rsidRDefault="004536E7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0"/>
        <w:jc w:val="left"/>
      </w:pPr>
      <w:r>
        <w:t xml:space="preserve">NONO, </w:t>
      </w:r>
      <w:proofErr w:type="spellStart"/>
      <w:r>
        <w:t>Maévi</w:t>
      </w:r>
      <w:proofErr w:type="spellEnd"/>
      <w:r>
        <w:t xml:space="preserve"> </w:t>
      </w:r>
      <w:proofErr w:type="spellStart"/>
      <w:r>
        <w:t>Anabel</w:t>
      </w:r>
      <w:proofErr w:type="spellEnd"/>
      <w:r>
        <w:t xml:space="preserve">; NICOLETTI, Maria da Graça </w:t>
      </w:r>
      <w:proofErr w:type="spellStart"/>
      <w:r>
        <w:t>Mizukami</w:t>
      </w:r>
      <w:proofErr w:type="spellEnd"/>
      <w:r>
        <w:t xml:space="preserve">. Possibilidades formativas e investigativas de casos de ensino. </w:t>
      </w:r>
      <w:r>
        <w:rPr>
          <w:b/>
        </w:rPr>
        <w:t>Olhar de professor</w:t>
      </w:r>
      <w:r>
        <w:t>, v. 7, n. 1, p. 115-131, 2004.</w:t>
      </w:r>
    </w:p>
    <w:p w14:paraId="0000006D" w14:textId="77777777" w:rsidR="00D06786" w:rsidRDefault="004536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color w:val="000000"/>
        </w:rPr>
      </w:pPr>
      <w:r>
        <w:rPr>
          <w:color w:val="000000"/>
        </w:rPr>
        <w:t xml:space="preserve">RAMOS, Luciana de Oliveira; SCHORSCHER, Vivian Cristina. Método do Caso. In: GHIRARDI, José Garcez (org.). </w:t>
      </w:r>
      <w:r>
        <w:rPr>
          <w:b/>
          <w:color w:val="000000"/>
        </w:rPr>
        <w:t>Métodos de Ensino em Direito</w:t>
      </w:r>
      <w:r>
        <w:rPr>
          <w:color w:val="000000"/>
        </w:rPr>
        <w:t>: conceitos para um debate. 2. ed. São Paulo: Saraiva, 2020. p.49-60.</w:t>
      </w:r>
    </w:p>
    <w:p w14:paraId="0000006E" w14:textId="77777777" w:rsidR="00D06786" w:rsidRDefault="004536E7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0"/>
        <w:jc w:val="left"/>
        <w:rPr>
          <w:color w:val="000000"/>
        </w:rPr>
      </w:pPr>
      <w:r>
        <w:rPr>
          <w:color w:val="000000"/>
        </w:rPr>
        <w:t>ROESCH, Sylvia Maria Azevedo. A construção de casos em gestão social: diferenças entre estudos de caso e casos para ensino. In: FISCHER, Tânia; ROESCH, Sylvia; MELO, Vanessa (</w:t>
      </w:r>
      <w:proofErr w:type="spellStart"/>
      <w:r>
        <w:rPr>
          <w:color w:val="000000"/>
        </w:rPr>
        <w:t>Orgs</w:t>
      </w:r>
      <w:proofErr w:type="spellEnd"/>
      <w:r>
        <w:rPr>
          <w:color w:val="000000"/>
        </w:rPr>
        <w:t xml:space="preserve">.). </w:t>
      </w:r>
      <w:r>
        <w:rPr>
          <w:b/>
          <w:color w:val="000000"/>
        </w:rPr>
        <w:t>Gestão do desenvolvimento territorial e residência social</w:t>
      </w:r>
      <w:r>
        <w:rPr>
          <w:color w:val="000000"/>
        </w:rPr>
        <w:t>: casos para ensino. Salvador: EDUFBA, 2004. p. 83-110.</w:t>
      </w:r>
    </w:p>
    <w:sectPr w:rsidR="00D06786" w:rsidSect="002478D7">
      <w:headerReference w:type="default" r:id="rId8"/>
      <w:footerReference w:type="default" r:id="rId9"/>
      <w:pgSz w:w="11906" w:h="16838"/>
      <w:pgMar w:top="1701" w:right="1134" w:bottom="1701" w:left="1134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3EE9D" w14:textId="77777777" w:rsidR="0032281C" w:rsidRDefault="0032281C">
      <w:pPr>
        <w:spacing w:line="240" w:lineRule="auto"/>
      </w:pPr>
      <w:r>
        <w:separator/>
      </w:r>
    </w:p>
  </w:endnote>
  <w:endnote w:type="continuationSeparator" w:id="0">
    <w:p w14:paraId="33B400EB" w14:textId="77777777" w:rsidR="0032281C" w:rsidRDefault="003228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74" w14:textId="68CAC5C9" w:rsidR="00D06786" w:rsidRDefault="004536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0000075" w14:textId="77777777" w:rsidR="00D06786" w:rsidRDefault="00D067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2DA48" w14:textId="77777777" w:rsidR="0032281C" w:rsidRDefault="0032281C">
      <w:pPr>
        <w:spacing w:line="240" w:lineRule="auto"/>
      </w:pPr>
      <w:r>
        <w:separator/>
      </w:r>
    </w:p>
  </w:footnote>
  <w:footnote w:type="continuationSeparator" w:id="0">
    <w:p w14:paraId="599BA261" w14:textId="77777777" w:rsidR="0032281C" w:rsidRDefault="0032281C">
      <w:pPr>
        <w:spacing w:line="240" w:lineRule="auto"/>
      </w:pPr>
      <w:r>
        <w:continuationSeparator/>
      </w:r>
    </w:p>
  </w:footnote>
  <w:footnote w:id="1">
    <w:p w14:paraId="00000070" w14:textId="47D845BF" w:rsidR="00D06786" w:rsidRDefault="004536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Graduanda em Direito pela Universidade Federal do Rio Grande do Norte. Monitora das disciplinas de Direito Civil II (Obrigações) e Direito Civil III (Contratos) no ano de 2023.</w:t>
      </w:r>
      <w:r w:rsidR="002478D7">
        <w:rPr>
          <w:color w:val="000000"/>
          <w:sz w:val="22"/>
          <w:szCs w:val="22"/>
        </w:rPr>
        <w:t xml:space="preserve"> E-mail: fernanda.beatris.700@ufrn.edu.br.</w:t>
      </w:r>
    </w:p>
  </w:footnote>
  <w:footnote w:id="2">
    <w:p w14:paraId="0CC7F5F5" w14:textId="59C6F899" w:rsidR="00FA6BF0" w:rsidRDefault="00FA6BF0" w:rsidP="00FA6B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Graduanda em Direito pela Universidade Federal do Rio Grande do Norte. Monitora das disciplinas de Direito Civil II (Obrigações) e Direito Civil III (Contratos) nos anos de 2022 e 2023.</w:t>
      </w:r>
      <w:r w:rsidR="002478D7">
        <w:rPr>
          <w:color w:val="000000"/>
          <w:sz w:val="22"/>
          <w:szCs w:val="22"/>
        </w:rPr>
        <w:t xml:space="preserve"> E-mail:</w:t>
      </w:r>
      <w:r w:rsidR="00030FBC">
        <w:rPr>
          <w:color w:val="000000"/>
          <w:sz w:val="22"/>
          <w:szCs w:val="22"/>
        </w:rPr>
        <w:t xml:space="preserve"> ana.julia.119@ufrn.edu.br.</w:t>
      </w:r>
    </w:p>
  </w:footnote>
  <w:footnote w:id="3">
    <w:p w14:paraId="790C1ACA" w14:textId="72B4C2E8" w:rsidR="00CC414B" w:rsidRDefault="00CC414B" w:rsidP="00CC41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Professor Adjunto da Universidade Federal do Rio Grande do Norte. Departamento de Direito Privado. Doutor em Direito pela Universidade de Coimbra. Ministra as disciplinas de Obrigações (Direito Civil II) e Contratos (Direito Civil III). Juiz Federal. Lattes: http://lattes.cnpq.br/4850326871996552.</w:t>
      </w:r>
      <w:r w:rsidR="002478D7">
        <w:t xml:space="preserve"> </w:t>
      </w:r>
      <w:r w:rsidR="002478D7">
        <w:t>E-mail: fabio.bezerra@ufrn.br.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71" w14:textId="0934AE5F" w:rsidR="00D06786" w:rsidRDefault="002478D7" w:rsidP="002478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Calibri" w:eastAsia="Calibri" w:hAnsi="Calibri" w:cs="Calibri"/>
        <w:color w:val="808080"/>
        <w:sz w:val="20"/>
        <w:szCs w:val="20"/>
      </w:rPr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45122FCE" wp14:editId="6E48A5F1">
          <wp:simplePos x="0" y="0"/>
          <wp:positionH relativeFrom="margin">
            <wp:align>center</wp:align>
          </wp:positionH>
          <wp:positionV relativeFrom="paragraph">
            <wp:posOffset>-62865</wp:posOffset>
          </wp:positionV>
          <wp:extent cx="5816600" cy="1233805"/>
          <wp:effectExtent l="0" t="0" r="0" b="0"/>
          <wp:wrapSquare wrapText="bothSides"/>
          <wp:docPr id="2" name="image1.png" descr="IMG_2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G_256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6600" cy="1233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72" w14:textId="77777777" w:rsidR="00D06786" w:rsidRDefault="00D067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color w:val="808080"/>
        <w:sz w:val="20"/>
        <w:szCs w:val="20"/>
      </w:rPr>
    </w:pPr>
  </w:p>
  <w:p w14:paraId="00000073" w14:textId="77777777" w:rsidR="00D06786" w:rsidRDefault="00D067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A7DD4"/>
    <w:multiLevelType w:val="multilevel"/>
    <w:tmpl w:val="0482695C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C280FD3"/>
    <w:multiLevelType w:val="multilevel"/>
    <w:tmpl w:val="7D8CC132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C9760F3"/>
    <w:multiLevelType w:val="multilevel"/>
    <w:tmpl w:val="4F362AA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0847DAC"/>
    <w:multiLevelType w:val="multilevel"/>
    <w:tmpl w:val="1D2EC682"/>
    <w:lvl w:ilvl="0">
      <w:start w:val="1"/>
      <w:numFmt w:val="decimal"/>
      <w:pStyle w:val="Ttulo1"/>
      <w:lvlText w:val="%1)"/>
      <w:lvlJc w:val="left"/>
      <w:pPr>
        <w:ind w:left="1211" w:hanging="360"/>
      </w:pPr>
      <w:rPr>
        <w:color w:val="000000"/>
      </w:rPr>
    </w:lvl>
    <w:lvl w:ilvl="1">
      <w:start w:val="1"/>
      <w:numFmt w:val="lowerLetter"/>
      <w:pStyle w:val="Ttulo2"/>
      <w:lvlText w:val="%2."/>
      <w:lvlJc w:val="left"/>
      <w:pPr>
        <w:ind w:left="1931" w:hanging="360"/>
      </w:pPr>
    </w:lvl>
    <w:lvl w:ilvl="2">
      <w:start w:val="1"/>
      <w:numFmt w:val="lowerRoman"/>
      <w:pStyle w:val="Ttulo3"/>
      <w:lvlText w:val="%3."/>
      <w:lvlJc w:val="right"/>
      <w:pPr>
        <w:ind w:left="2651" w:hanging="180"/>
      </w:pPr>
    </w:lvl>
    <w:lvl w:ilvl="3">
      <w:start w:val="1"/>
      <w:numFmt w:val="decimal"/>
      <w:pStyle w:val="Ttulo4"/>
      <w:lvlText w:val="%4."/>
      <w:lvlJc w:val="left"/>
      <w:pPr>
        <w:ind w:left="3371" w:hanging="360"/>
      </w:pPr>
    </w:lvl>
    <w:lvl w:ilvl="4">
      <w:start w:val="1"/>
      <w:numFmt w:val="lowerLetter"/>
      <w:pStyle w:val="Ttulo5"/>
      <w:lvlText w:val="%5."/>
      <w:lvlJc w:val="left"/>
      <w:pPr>
        <w:ind w:left="4091" w:hanging="360"/>
      </w:pPr>
    </w:lvl>
    <w:lvl w:ilvl="5">
      <w:start w:val="1"/>
      <w:numFmt w:val="lowerRoman"/>
      <w:pStyle w:val="Ttulo6"/>
      <w:lvlText w:val="%6."/>
      <w:lvlJc w:val="right"/>
      <w:pPr>
        <w:ind w:left="4811" w:hanging="180"/>
      </w:pPr>
    </w:lvl>
    <w:lvl w:ilvl="6">
      <w:start w:val="1"/>
      <w:numFmt w:val="decimal"/>
      <w:pStyle w:val="Ttulo7"/>
      <w:lvlText w:val="%7."/>
      <w:lvlJc w:val="left"/>
      <w:pPr>
        <w:ind w:left="5531" w:hanging="360"/>
      </w:pPr>
    </w:lvl>
    <w:lvl w:ilvl="7">
      <w:start w:val="1"/>
      <w:numFmt w:val="lowerLetter"/>
      <w:pStyle w:val="Ttulo8"/>
      <w:lvlText w:val="%8."/>
      <w:lvlJc w:val="left"/>
      <w:pPr>
        <w:ind w:left="6251" w:hanging="360"/>
      </w:pPr>
    </w:lvl>
    <w:lvl w:ilvl="8">
      <w:start w:val="1"/>
      <w:numFmt w:val="lowerRoman"/>
      <w:pStyle w:val="Ttulo9"/>
      <w:lvlText w:val="%9."/>
      <w:lvlJc w:val="right"/>
      <w:pPr>
        <w:ind w:left="6971" w:hanging="180"/>
      </w:pPr>
    </w:lvl>
  </w:abstractNum>
  <w:abstractNum w:abstractNumId="4" w15:restartNumberingAfterBreak="0">
    <w:nsid w:val="7959278A"/>
    <w:multiLevelType w:val="multilevel"/>
    <w:tmpl w:val="47F01DA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85687099">
    <w:abstractNumId w:val="2"/>
  </w:num>
  <w:num w:numId="2" w16cid:durableId="1066337306">
    <w:abstractNumId w:val="1"/>
  </w:num>
  <w:num w:numId="3" w16cid:durableId="1994328050">
    <w:abstractNumId w:val="0"/>
  </w:num>
  <w:num w:numId="4" w16cid:durableId="1701004871">
    <w:abstractNumId w:val="3"/>
  </w:num>
  <w:num w:numId="5" w16cid:durableId="6991656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786"/>
    <w:rsid w:val="00005DBF"/>
    <w:rsid w:val="00024B9D"/>
    <w:rsid w:val="00030FBC"/>
    <w:rsid w:val="00035C9E"/>
    <w:rsid w:val="000B3D80"/>
    <w:rsid w:val="000C3DC1"/>
    <w:rsid w:val="000F08FA"/>
    <w:rsid w:val="0010520C"/>
    <w:rsid w:val="0013417F"/>
    <w:rsid w:val="00134891"/>
    <w:rsid w:val="0016290E"/>
    <w:rsid w:val="002478D7"/>
    <w:rsid w:val="00267B25"/>
    <w:rsid w:val="00277D95"/>
    <w:rsid w:val="002837B4"/>
    <w:rsid w:val="0028759D"/>
    <w:rsid w:val="002938FD"/>
    <w:rsid w:val="002C568E"/>
    <w:rsid w:val="0032281C"/>
    <w:rsid w:val="003612B7"/>
    <w:rsid w:val="00370DAA"/>
    <w:rsid w:val="003F2A14"/>
    <w:rsid w:val="004536E7"/>
    <w:rsid w:val="00496D06"/>
    <w:rsid w:val="004B0B71"/>
    <w:rsid w:val="004C00A6"/>
    <w:rsid w:val="004C7FF3"/>
    <w:rsid w:val="004D7684"/>
    <w:rsid w:val="005158F8"/>
    <w:rsid w:val="00556F0E"/>
    <w:rsid w:val="00560F6E"/>
    <w:rsid w:val="005657E3"/>
    <w:rsid w:val="005749EB"/>
    <w:rsid w:val="00585A8F"/>
    <w:rsid w:val="005A4DA9"/>
    <w:rsid w:val="005A711B"/>
    <w:rsid w:val="005E1197"/>
    <w:rsid w:val="006858F1"/>
    <w:rsid w:val="00690FB3"/>
    <w:rsid w:val="00693FE0"/>
    <w:rsid w:val="006F2402"/>
    <w:rsid w:val="006F53DF"/>
    <w:rsid w:val="00705C0E"/>
    <w:rsid w:val="00782FBF"/>
    <w:rsid w:val="00795B4A"/>
    <w:rsid w:val="007A41DD"/>
    <w:rsid w:val="007F7F17"/>
    <w:rsid w:val="00865656"/>
    <w:rsid w:val="008738F0"/>
    <w:rsid w:val="00892C36"/>
    <w:rsid w:val="008B08CE"/>
    <w:rsid w:val="00904BE5"/>
    <w:rsid w:val="00947894"/>
    <w:rsid w:val="00952738"/>
    <w:rsid w:val="0098175C"/>
    <w:rsid w:val="009C4829"/>
    <w:rsid w:val="009C62C5"/>
    <w:rsid w:val="009D513F"/>
    <w:rsid w:val="009E50F5"/>
    <w:rsid w:val="009F7403"/>
    <w:rsid w:val="009F7D8D"/>
    <w:rsid w:val="00A33FA6"/>
    <w:rsid w:val="00A6457C"/>
    <w:rsid w:val="00AB0951"/>
    <w:rsid w:val="00AE4AFF"/>
    <w:rsid w:val="00B17EFF"/>
    <w:rsid w:val="00B5720B"/>
    <w:rsid w:val="00B956F4"/>
    <w:rsid w:val="00BE1623"/>
    <w:rsid w:val="00C50E49"/>
    <w:rsid w:val="00C63B45"/>
    <w:rsid w:val="00C6626C"/>
    <w:rsid w:val="00CA5A86"/>
    <w:rsid w:val="00CC414B"/>
    <w:rsid w:val="00CE3C47"/>
    <w:rsid w:val="00D06786"/>
    <w:rsid w:val="00D3148D"/>
    <w:rsid w:val="00D4609F"/>
    <w:rsid w:val="00D73E54"/>
    <w:rsid w:val="00E7589C"/>
    <w:rsid w:val="00EC187B"/>
    <w:rsid w:val="00ED62E7"/>
    <w:rsid w:val="00F27083"/>
    <w:rsid w:val="00F77A42"/>
    <w:rsid w:val="00FA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0BB39"/>
  <w15:docId w15:val="{51EF432C-7E38-4662-A826-C2A8A0B9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070"/>
  </w:style>
  <w:style w:type="paragraph" w:styleId="Ttulo1">
    <w:name w:val="heading 1"/>
    <w:next w:val="Normal"/>
    <w:link w:val="Ttulo1Char"/>
    <w:uiPriority w:val="9"/>
    <w:qFormat/>
    <w:rsid w:val="00930B9D"/>
    <w:pPr>
      <w:keepNext/>
      <w:keepLines/>
      <w:numPr>
        <w:numId w:val="4"/>
      </w:numPr>
      <w:spacing w:before="240" w:after="240"/>
      <w:ind w:left="431" w:hanging="431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30B9D"/>
    <w:pPr>
      <w:keepNext/>
      <w:keepLines/>
      <w:numPr>
        <w:ilvl w:val="1"/>
        <w:numId w:val="4"/>
      </w:numPr>
      <w:spacing w:before="240" w:after="240"/>
      <w:ind w:left="578" w:hanging="578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84D65"/>
    <w:pPr>
      <w:keepNext/>
      <w:keepLines/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C1463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C1463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C1463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C1463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C1463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C1463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37EF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037EF0"/>
  </w:style>
  <w:style w:type="paragraph" w:styleId="Rodap">
    <w:name w:val="footer"/>
    <w:basedOn w:val="Normal"/>
    <w:link w:val="RodapChar"/>
    <w:uiPriority w:val="99"/>
    <w:unhideWhenUsed/>
    <w:rsid w:val="00037EF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7EF0"/>
  </w:style>
  <w:style w:type="paragraph" w:styleId="Textodebalo">
    <w:name w:val="Balloon Text"/>
    <w:basedOn w:val="Normal"/>
    <w:link w:val="TextodebaloChar"/>
    <w:uiPriority w:val="99"/>
    <w:semiHidden/>
    <w:unhideWhenUsed/>
    <w:rsid w:val="00A45F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5FC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930B9D"/>
    <w:rPr>
      <w:rFonts w:eastAsiaTheme="majorEastAsia" w:cstheme="majorBidi"/>
      <w:b/>
      <w:bCs/>
      <w:color w:val="000000" w:themeColor="text1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930B9D"/>
    <w:rPr>
      <w:rFonts w:eastAsiaTheme="majorEastAsia" w:cstheme="majorBidi"/>
      <w:b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84D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93F74"/>
    <w:rPr>
      <w:color w:val="0563C1" w:themeColor="hyperlink"/>
      <w:u w:val="single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5037A7"/>
    <w:pPr>
      <w:tabs>
        <w:tab w:val="left" w:pos="851"/>
      </w:tabs>
      <w:spacing w:line="240" w:lineRule="auto"/>
      <w:ind w:left="2268"/>
    </w:pPr>
    <w:rPr>
      <w:rFonts w:eastAsia="Arial"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5037A7"/>
    <w:rPr>
      <w:rFonts w:ascii="Times New Roman" w:eastAsia="Arial" w:hAnsi="Times New Roman" w:cs="Times New Roman"/>
      <w:iCs/>
      <w:color w:val="000000" w:themeColor="text1"/>
    </w:rPr>
  </w:style>
  <w:style w:type="paragraph" w:customStyle="1" w:styleId="Texto">
    <w:name w:val="Texto"/>
    <w:basedOn w:val="Normal"/>
    <w:rsid w:val="001F132E"/>
    <w:pPr>
      <w:suppressAutoHyphens/>
    </w:pPr>
    <w:rPr>
      <w:rFonts w:ascii="Arial" w:eastAsia="Calibri" w:hAnsi="Arial" w:cs="Arial"/>
      <w:lang w:eastAsia="zh-CN"/>
    </w:rPr>
  </w:style>
  <w:style w:type="paragraph" w:styleId="PargrafodaLista">
    <w:name w:val="List Paragraph"/>
    <w:basedOn w:val="Normal"/>
    <w:uiPriority w:val="34"/>
    <w:qFormat/>
    <w:rsid w:val="002A045C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3C1463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C1463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C1463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C1463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C14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C146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RefernciaIntensa">
    <w:name w:val="Intense Reference"/>
    <w:basedOn w:val="Fontepargpadro"/>
    <w:uiPriority w:val="32"/>
    <w:qFormat/>
    <w:rsid w:val="00AA38DF"/>
    <w:rPr>
      <w:b/>
      <w:bCs/>
      <w:smallCaps/>
      <w:color w:val="5B9BD5" w:themeColor="accent1"/>
      <w:spacing w:val="5"/>
    </w:rPr>
  </w:style>
  <w:style w:type="paragraph" w:customStyle="1" w:styleId="REFSFINAIS">
    <w:name w:val="REFS FINAIS"/>
    <w:basedOn w:val="Normal"/>
    <w:link w:val="REFSFINAISChar"/>
    <w:qFormat/>
    <w:rsid w:val="00D351F9"/>
    <w:pPr>
      <w:spacing w:before="240" w:after="240" w:line="240" w:lineRule="auto"/>
      <w:ind w:firstLine="0"/>
      <w:jc w:val="left"/>
    </w:pPr>
    <w:rPr>
      <w:rFonts w:eastAsia="Arial"/>
      <w:spacing w:val="-2"/>
    </w:rPr>
  </w:style>
  <w:style w:type="paragraph" w:styleId="Textodenotaderodap">
    <w:name w:val="footnote text"/>
    <w:link w:val="TextodenotaderodapChar"/>
    <w:uiPriority w:val="99"/>
    <w:unhideWhenUsed/>
    <w:qFormat/>
    <w:rsid w:val="00AC3DF9"/>
    <w:pPr>
      <w:spacing w:line="240" w:lineRule="auto"/>
      <w:ind w:firstLine="0"/>
    </w:pPr>
    <w:rPr>
      <w:sz w:val="22"/>
      <w:szCs w:val="20"/>
    </w:rPr>
  </w:style>
  <w:style w:type="character" w:customStyle="1" w:styleId="REFSFINAISChar">
    <w:name w:val="REFS FINAIS Char"/>
    <w:basedOn w:val="Fontepargpadro"/>
    <w:link w:val="REFSFINAIS"/>
    <w:rsid w:val="00D351F9"/>
    <w:rPr>
      <w:rFonts w:eastAsia="Arial"/>
      <w:spacing w:val="-2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C3DF9"/>
    <w:rPr>
      <w:sz w:val="22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04F4C"/>
    <w:rPr>
      <w:vertAlign w:val="superscript"/>
    </w:rPr>
  </w:style>
  <w:style w:type="paragraph" w:customStyle="1" w:styleId="notaderodap">
    <w:name w:val="nota de rodapé"/>
    <w:basedOn w:val="Rodap"/>
    <w:link w:val="notaderodapChar"/>
    <w:qFormat/>
    <w:rsid w:val="00F04F4C"/>
  </w:style>
  <w:style w:type="character" w:customStyle="1" w:styleId="notaderodapChar">
    <w:name w:val="nota de rodapé Char"/>
    <w:basedOn w:val="RodapChar"/>
    <w:link w:val="notaderodap"/>
    <w:rsid w:val="00F04F4C"/>
    <w:rPr>
      <w:rFonts w:ascii="Times New Roman" w:hAnsi="Times New Roman"/>
      <w:sz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basedOn w:val="Fontepargpadro"/>
    <w:uiPriority w:val="22"/>
    <w:qFormat/>
    <w:rsid w:val="003F3E13"/>
    <w:rPr>
      <w:b/>
      <w:bCs/>
    </w:rPr>
  </w:style>
  <w:style w:type="paragraph" w:styleId="NormalWeb">
    <w:name w:val="Normal (Web)"/>
    <w:basedOn w:val="Normal"/>
    <w:uiPriority w:val="99"/>
    <w:unhideWhenUsed/>
    <w:rsid w:val="003B243E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oypena">
    <w:name w:val="oypena"/>
    <w:basedOn w:val="Fontepargpadro"/>
    <w:rsid w:val="006A6540"/>
  </w:style>
  <w:style w:type="character" w:customStyle="1" w:styleId="ql-cursor">
    <w:name w:val="ql-cursor"/>
    <w:basedOn w:val="Fontepargpadro"/>
    <w:rsid w:val="006A6540"/>
  </w:style>
  <w:style w:type="character" w:styleId="Refdecomentrio">
    <w:name w:val="annotation reference"/>
    <w:basedOn w:val="Fontepargpadro"/>
    <w:uiPriority w:val="99"/>
    <w:semiHidden/>
    <w:unhideWhenUsed/>
    <w:rsid w:val="0013489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3489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3489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489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4891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247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w4lvTE754l6JE8jyIk/fN6V4QQ==">CgMxLjAyCWguMzBqMHpsbDIIaC5namRneHM4AHIhMTk3R0VOUktDcmR2aF9xZ2xDMUN1RF9TTDZ0Z3pmS3dC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3555</Words>
  <Characters>19200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Periodicos-PC02</dc:creator>
  <cp:lastModifiedBy>FERNANDA BEATRIS PEIXOTO MATOS</cp:lastModifiedBy>
  <cp:revision>2</cp:revision>
  <cp:lastPrinted>2024-07-13T16:57:00Z</cp:lastPrinted>
  <dcterms:created xsi:type="dcterms:W3CDTF">2024-07-13T16:57:00Z</dcterms:created>
  <dcterms:modified xsi:type="dcterms:W3CDTF">2024-07-13T16:57:00Z</dcterms:modified>
</cp:coreProperties>
</file>