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GT: RELATOS DE EXPERIÊNCIA EXTENSIONISTA</w:t>
      </w:r>
    </w:p>
    <w:p w:rsidR="00000000" w:rsidDel="00000000" w:rsidP="00000000" w:rsidRDefault="00000000" w:rsidRPr="00000000" w14:paraId="00000003">
      <w:pPr>
        <w:shd w:fill="ffffff" w:val="clear"/>
        <w:spacing w:after="0" w:before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Aprendendo Matemática Financeira de Forma Lúdica: Experiência com o Jogo Trilha Financeira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36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360" w:lineRule="auto"/>
        <w:jc w:val="right"/>
        <w:rPr>
          <w:rFonts w:ascii="Times New Roman" w:cs="Times New Roman" w:eastAsia="Times New Roman" w:hAnsi="Times New Roman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SILVA, Hellen Beatriz Pereira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line="36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KRAMER, Dany Geraldo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before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0" w:before="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4"/>
          <w:szCs w:val="24"/>
          <w:rtl w:val="0"/>
        </w:rPr>
        <w:t xml:space="preserve">RESUMO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Este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relato de experiência descreve a aplicação de jogos como ferramenta didática nas aulas de Matemática Financeira em uma escola municipal localizada no interior do estado do Rio Grande do Norte. A atividade envolveu o uso do jogo trilha financeira com uma turma do ensino fundamental I, promovendo a participação ativa dos alunos. Durante a aula, foi realizado um jogo educativo que utilizou dados e perguntas no formato de quiz, com o objetivo de reforçar o aprendizado de conceitos financeiros básicos de maneira lúdica e envolvente. A iniciativa teve como propósito preparar as crianças para a tomada de decisões financeiras mais inteligentes no futuro. A atividade buscou engajar os alunos, promovendo um real envolvimento com os temas abordados e estimulando a prática desses conceitos no seu cotidiano. Este método pretendeu transformar o aprendizado de Matemática Financeira em uma experiência mais interativa e aplicável à vida real, proporcionando aos alunos uma compreensão mais profunda e prática dos conteúdos financeiros.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Palavras-chave: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educação financeira; aprendizado lúdico; jogos educacionais.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spacing w:line="360" w:lineRule="auto"/>
        <w:rPr/>
      </w:pPr>
      <w:r w:rsidDel="00000000" w:rsidR="00000000" w:rsidRPr="00000000">
        <w:rPr>
          <w:rtl w:val="0"/>
        </w:rPr>
        <w:t xml:space="preserve">1 APRESENTAÇÃO</w:t>
      </w:r>
      <w:r w:rsidDel="00000000" w:rsidR="00000000" w:rsidRPr="00000000">
        <w:rPr>
          <w:b w:val="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educação financeira é mais do que apenas entender de números e operações, é a chave para a autonomia e o empoderamento na tomada de decisões mais inteligentes. Como citado por Robert Kiyosaki (2000), autor de best-sellers sobre finanças pessoais, além da importância de aprender a gerenciar finanças desde cedo, não pode ser subestimada.</w:t>
      </w:r>
    </w:p>
    <w:p w:rsidR="00000000" w:rsidDel="00000000" w:rsidP="00000000" w:rsidRDefault="00000000" w:rsidRPr="00000000" w14:paraId="0000000E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 acordo com as conclusões apresentadas por (Silva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et al.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2018), em um cenário de escolhas financeiras frequentes, a educação surge como guia para decisões, informando sobre finanças, consumo e incentivando a poupança. Assim, essa educação compreende um conjunto informativo essencial para gerenciar finanças, abrangendo gastos, empréstimos, poupança e investimentos.</w:t>
      </w:r>
    </w:p>
    <w:p w:rsidR="00000000" w:rsidDel="00000000" w:rsidP="00000000" w:rsidRDefault="00000000" w:rsidRPr="00000000" w14:paraId="0000000F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contexto de iniciar um novo projeto educativo para crianças, diversas motivações podem impulsionar essa jornada, A presença do lúdico na educação brasileira, destacada por Antunes (2004), revela a essencial interligação entre o brincar e o lúdico, ressaltando a importância da experiência infantil podendo ser tanto pela identificação de uma oportunidade como pela necessidade de preencher lacunas no processo educacional. Acentuando ainda mais a presença de um jogo educativo durante a intervenção.</w:t>
      </w:r>
    </w:p>
    <w:p w:rsidR="00000000" w:rsidDel="00000000" w:rsidP="00000000" w:rsidRDefault="00000000" w:rsidRPr="00000000" w14:paraId="00000010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Citando a educadora Maria Montessori (2010), na qual afirma que o importante é despertar no indivíduo a vontade de fazer, conhecer e agir por si mesmo. Nesse sentido, a intervenção educacional não apenas preenche lacunas ou supre necessidades, mas também visa instigar a curiosidade, autonomia e o potencial das crianças no processo de aprendizagem, oferecendo oportunidades de desenvolvimento e crescimento.</w:t>
      </w:r>
    </w:p>
    <w:p w:rsidR="00000000" w:rsidDel="00000000" w:rsidP="00000000" w:rsidRDefault="00000000" w:rsidRPr="00000000" w14:paraId="00000011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Educação Financeira ganha destaque global, como requisito fundamental para uma futura qualidade de vida. No Brasil, há um desenvolvimento crescente na conscientização financeira entre crianças, refletindo um interesse ascendente, e com uma maior consciência sobre hábitos e consumos, assim como pontua (Buss; Amorim, 2020).</w:t>
      </w:r>
    </w:p>
    <w:p w:rsidR="00000000" w:rsidDel="00000000" w:rsidP="00000000" w:rsidRDefault="00000000" w:rsidRPr="00000000" w14:paraId="00000012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Um estudo realizado pelo Instituto de Pesquisa Econômica Aplicada (IPEA) em parceria com o Ministério da Educação (MEC), revelou que apenas uma pequena parcela das escolas do país incorpora efetivamente a educação financeira em seus currículos de forma regular e estruturada. Tal situação reforça a necessidade de ampliação e fortalecimento de políticas educacionais voltadas para o ensino de conceitos financeiros desde a infância.</w:t>
      </w:r>
    </w:p>
    <w:p w:rsidR="00000000" w:rsidDel="00000000" w:rsidP="00000000" w:rsidRDefault="00000000" w:rsidRPr="00000000" w14:paraId="00000013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Assim, ações de extensão junto a alunos de escolas públicas fundamentais se fazem importantes com esta temática, objeto do presente relato de experiência, junto a alunos do 4º ano da cidade de Nova Cruz - RN. Logo, este artigo assume suma importância, devido à carência de estudos abrangentes na área, especialmente no que diz respeito à matemática financeira abordada nas escolas. Com essa lacuna sanada, pode beneficiar tanto a população como diversos setores da sociedade interessados na educação.</w:t>
      </w:r>
    </w:p>
    <w:p w:rsidR="00000000" w:rsidDel="00000000" w:rsidP="00000000" w:rsidRDefault="00000000" w:rsidRPr="00000000" w14:paraId="00000014">
      <w:pPr>
        <w:shd w:fill="ffffff" w:val="clear"/>
        <w:spacing w:after="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 PROCEDIMENTOS METODOLÓGICOS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f0065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spacing w:after="120" w:before="360" w:line="360" w:lineRule="auto"/>
        <w:ind w:firstLine="7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heading=h.i5fs454j7f6p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2.1. DESCRIÇÃO DA AÇÃO</w:t>
      </w:r>
    </w:p>
    <w:p w:rsidR="00000000" w:rsidDel="00000000" w:rsidP="00000000" w:rsidRDefault="00000000" w:rsidRPr="00000000" w14:paraId="00000017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ação ocorreu em uma escola municipal da cidade de Nova Cruz-RN, com a participação dos estudantes do quarto ano do ensino fundamental I, no período vespertino, somado à presença de professoras da própria escola. O foco central foi a introdução de um jogo educativo chamado Trilha Financeira.</w:t>
      </w:r>
    </w:p>
    <w:p w:rsidR="00000000" w:rsidDel="00000000" w:rsidP="00000000" w:rsidRDefault="00000000" w:rsidRPr="00000000" w14:paraId="00000018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 a realização de aula com slides, mais um jogo no final, pois assim, fazendo ligação com as ideias de Antunes (2004), sobre a interligação entre brincar e lúdico, para ser uma experiência infantil que ajudaria no processo educacional. Acentuando ainda mais a importância, principalmente nas idades mais jovens, de se aprender de uma forma mais divertida e lúdica.</w:t>
      </w:r>
    </w:p>
    <w:p w:rsidR="00000000" w:rsidDel="00000000" w:rsidP="00000000" w:rsidRDefault="00000000" w:rsidRPr="00000000" w14:paraId="00000019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ser estruturado, um jogo foi para promover a aprendizagem sobre os conceitos básicos citados por (Silva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et al.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2018), finanças, consumo e incentivando a poupança. Além de tratar sobre o empreendedorismo ao perceber que a turma estava muito inclinada para esse viés, ao citar algumas situações que ocorreram em sua vida, sobre compra e venda de produtos, o que de certa forma causou uma certa surpresa, pois como a turma é muito jovem, não esperava-se que já trataram de temas tão adiantados.</w:t>
      </w:r>
    </w:p>
    <w:p w:rsidR="00000000" w:rsidDel="00000000" w:rsidP="00000000" w:rsidRDefault="00000000" w:rsidRPr="00000000" w14:paraId="0000001A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ind w:firstLine="72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Figura 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Jogo de trilha financeira aplicado na ação de extensão </w:t>
      </w:r>
    </w:p>
    <w:p w:rsidR="00000000" w:rsidDel="00000000" w:rsidP="00000000" w:rsidRDefault="00000000" w:rsidRPr="00000000" w14:paraId="0000001C">
      <w:pPr>
        <w:spacing w:after="0" w:line="360" w:lineRule="auto"/>
        <w:ind w:firstLine="72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993010" cy="179627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3005" l="0" r="0" t="3137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3010" cy="1796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ind w:firstLine="72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Fonte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Elaborado pelos autores (2024)</w:t>
      </w:r>
    </w:p>
    <w:p w:rsidR="00000000" w:rsidDel="00000000" w:rsidP="00000000" w:rsidRDefault="00000000" w:rsidRPr="00000000" w14:paraId="0000001E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trilha financeira consistia em perguntas e atividades relacionadas aos temas abordados, incluindo questões sobre dinheiro, contas matemáticas simples e questionamentos sobre as práticas de consumo consciente. </w:t>
      </w:r>
    </w:p>
    <w:p w:rsidR="00000000" w:rsidDel="00000000" w:rsidP="00000000" w:rsidRDefault="00000000" w:rsidRPr="00000000" w14:paraId="00000020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Além disso, foi promovida uma discussão inicial sobre dinheiro no dia a dia de cada estudante e uma reflexão sobre o auxílio que eles ofereciam em casa ou em empreendimentos familiares. Essa dinâmica foi crucial para entender a realidade e o contexto dos alunos, especialmente considerando a possível experiência de trabalho em feiras locais ou no suporte aos negócios dos pais, comuns em cidades do interior.</w:t>
      </w:r>
    </w:p>
    <w:p w:rsidR="00000000" w:rsidDel="00000000" w:rsidP="00000000" w:rsidRDefault="00000000" w:rsidRPr="00000000" w14:paraId="00000021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1"/>
        <w:tabs>
          <w:tab w:val="left" w:leader="none" w:pos="851"/>
        </w:tabs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Quadro 1 -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Perguntas/respostas aplicadas na intervenção de extensão em Nova Cruz  - RN</w:t>
      </w:r>
    </w:p>
    <w:tbl>
      <w:tblPr>
        <w:tblStyle w:val="Table1"/>
        <w:tblW w:w="9082.138068137523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67.1380681375226"/>
        <w:gridCol w:w="3855.879265091863"/>
        <w:gridCol w:w="4559.120734908137"/>
        <w:tblGridChange w:id="0">
          <w:tblGrid>
            <w:gridCol w:w="667.1380681375226"/>
            <w:gridCol w:w="3855.879265091863"/>
            <w:gridCol w:w="4559.120734908137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Perguntas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Possíveis respostas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Qual é a importância de economizar dinheiro?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É importante para poder ter e comprar que queremos no futuro.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 que significa consumo consciente?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É fazer boas escolhas ao comprar para reduzir o impacto ambiental.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 que é dinheiro?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 dinheiro é o que usamos para comprar coisas.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Cite quais são os tipos de cédulas de dinheiro usadas atualmente no Brasil!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Dois reais,cinco reais, dez reais, vinte reais, cinquenta reais, cem reais.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 que é poupar?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É guardar dinheiro em um cofrinho ou em um banco para usar mais tarde.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Poupar terá um resultado positivo no seu futuro?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Poupar regularmente, mesmo que em pequenas quantidades, pode fazer uma grande diferença ao longo do tempo.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 que são gastos?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São coisas que compramos com o dinheiro, ou seja usamos o dinheiro e gastamos.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 que é consumismo?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É um comportamento em que as pessoas tendem a adquirir e gastar dinheiro em bens e serviços de forma excessiva, muitas vezes além do que realmente precisam.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Quais são os seus Impactos do consumismo?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 esgotamento de recursos naturais, como água, energia e matérias-primas;</w:t>
            </w:r>
          </w:p>
          <w:p w:rsidR="00000000" w:rsidDel="00000000" w:rsidP="00000000" w:rsidRDefault="00000000" w:rsidRPr="00000000" w14:paraId="00000041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 gasto além das possibilidades financeiras, resulta em altos níveis de dívidas.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 que é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consumerismo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 consumerismo tem seus fundamentos na compra consciente, levando em conta questões ambientais e valores sociais.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Cite exemplos de práticas do consumerismo: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 veganismo;Comprar roupas de brechós; E ter uma boa alimentação.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Por que é importante pensar antes de comprar alguma coisa?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Para evitar compras impulsivas e garantir que realmente precisamos do que estamos comprando.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Como podemos ajudar a cuidar do meio ambiente ao fazer escolhas de consumo?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Escolhendo produtos sustentáveis, reciclando e reduzindo o desperdício.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Como podemos ajudar a comunidade ao apoiar pequenos negócios locais?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Comprando produtos de negócios locais, ajudando a economia do município.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Qual é a diferença entre “necessidade” e “desejo” quando se trata de comprar algo?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Necessidade é algo que precisamos para viver, desejo é algo que queremos, mas não é essencial.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você tem R$50,00 e quer dividir igualmente com dois amigos, quanto cada um receberá?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R$ 25,00 para cada amigo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 que significa empreendedorismo?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É a capacidade de criar, desenvolver e gerenciar um negócio com inovação e criatividade.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você ganha R$5,00 por semana ajudando em casa, quanto ganha em um mês?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R$ 20,00 por mês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Quais são algumas maneiras de ganhar dinheiro de maneira criativa?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Fazendo artesanato, vendendo coisas usadas, oferecendo serviços simples, etc.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você quer comprar uma bicicleta que custa R$500,00 e decide economizar R$10 por semana, em quantas semanas você conseguirá comprá-la?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Em 50 semanas.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spacing w:after="0" w:line="360" w:lineRule="auto"/>
        <w:ind w:firstLine="72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Fonte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Elaborado pelos autores (2024)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2"/>
        <w:spacing w:after="120" w:before="360" w:line="360" w:lineRule="auto"/>
        <w:ind w:firstLine="7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heading=h.ybiy2dzeo822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2.2 POPULAÇÃO E AMOSTRA</w:t>
      </w:r>
    </w:p>
    <w:p w:rsidR="00000000" w:rsidDel="00000000" w:rsidP="00000000" w:rsidRDefault="00000000" w:rsidRPr="00000000" w14:paraId="00000065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população participante foi composta por 20 alunos presentes em sala de aula. Dentre esses alunos, cinco apresentavam necessidades especiais, evidenciando a importância da inclusão em atividades educacionais. Com a faixa etária dos alunos variava entre 8 e 10 anos de idade. </w:t>
      </w:r>
    </w:p>
    <w:p w:rsidR="00000000" w:rsidDel="00000000" w:rsidP="00000000" w:rsidRDefault="00000000" w:rsidRPr="00000000" w14:paraId="00000067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Essa diversidade de alunos foi estratégica para proporcionar uma amostra representativa do ambiente escolar, considerando diferentes habilidades e experiências. A presença de alunos que possivelmente já tinham experiência no ambiente de trabalho, como em feiras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ou empreendimentos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familiares, adicionou um contexto enriquecedor à ação, contribuindo para uma compreensão mais ampla e contextualizada dos temas abordados durante o jogo Trilha Financeira.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2"/>
        <w:spacing w:after="120" w:before="360" w:line="360" w:lineRule="auto"/>
        <w:ind w:firstLine="720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bookmarkStart w:colFirst="0" w:colLast="0" w:name="_heading=h.znuz1mdu4uc" w:id="2"/>
      <w:bookmarkEnd w:id="2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2.3 IMPORTÂNCIA DA EDUCAÇÃO FINANCEIRA NA FORMAÇÃO ESCOLAR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crescente reconhecimento da necessidade de educação financeira destaca-se significativamente na sociedade brasileira, sobretudo no contexto da administração das finanças pessoais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Silva; Monteiro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2023). </w:t>
      </w:r>
    </w:p>
    <w:p w:rsidR="00000000" w:rsidDel="00000000" w:rsidP="00000000" w:rsidRDefault="00000000" w:rsidRPr="00000000" w14:paraId="0000006A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Segundo o educador, Domingos (2012, p. 95), a maior dificuldade em ensinar Educação Financeira às crianças/adolescentes reside na escassez de diálogo sobre 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assunto, está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na própria casa. O advento da disciplina de Educação Financeira nos anos iniciais ressalta a crescente importância desse conhecimento. </w:t>
      </w:r>
    </w:p>
    <w:p w:rsidR="00000000" w:rsidDel="00000000" w:rsidP="00000000" w:rsidRDefault="00000000" w:rsidRPr="00000000" w14:paraId="0000006B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Segundo Brönstrup e Becker (2016), a educação financeira é essencial para capacitar indivíduos a fazerem um uso adequado do dinheiro, influenciando diretamente a busca pela independência financeira. E ao introduzir tais informações nas escolas desde cedo é crucial, permitindo aos alunos desenvolverem habilidades de gestão financeira e aumentando sua capacidade de lidar efetivamente com o dinheiro, promovendo autonomia financeira e preparando-os para desafios futuros.</w:t>
      </w:r>
    </w:p>
    <w:p w:rsidR="00000000" w:rsidDel="00000000" w:rsidP="00000000" w:rsidRDefault="00000000" w:rsidRPr="00000000" w14:paraId="0000006C">
      <w:pPr>
        <w:pStyle w:val="Heading2"/>
        <w:spacing w:after="120" w:before="36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heading=h.5i3qtg5errjj" w:id="3"/>
      <w:bookmarkEnd w:id="3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2.4 CONCEITOS BÁSICOS</w:t>
      </w:r>
    </w:p>
    <w:p w:rsidR="00000000" w:rsidDel="00000000" w:rsidP="00000000" w:rsidRDefault="00000000" w:rsidRPr="00000000" w14:paraId="0000006D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questão do dinheiro, gastos e da poupança é fundamental, até mesmo no ambiente escolar. Como defendido por renomados educadores, como John Dewey e Maria Montessori, o dinheiro não é apenas uma ferramenta de transação, mas uma oportunidade de aprendizado. Dewey (1959), conhecido por sua filosofia educacional progressista, ressaltou a importância de experiências práticas na aprendizagem. Ele destacou que a educação deve ser relevante para a vida diária, incluindo questões financeiras.</w:t>
      </w:r>
    </w:p>
    <w:p w:rsidR="00000000" w:rsidDel="00000000" w:rsidP="00000000" w:rsidRDefault="00000000" w:rsidRPr="00000000" w14:paraId="0000006E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Montessori (2010), por sua vez, enfatizou a importância do ambiente preparado, no qual as crianças têm liberdade para escolher e aprender com suas próprias experiências. Para ela, a gestão do dinheiro e a compreensão de gastos e poupança são lições valiosas para a autonomia e a responsabilidade na vida adulta.</w:t>
      </w:r>
    </w:p>
    <w:p w:rsidR="00000000" w:rsidDel="00000000" w:rsidP="00000000" w:rsidRDefault="00000000" w:rsidRPr="00000000" w14:paraId="0000006F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aplicar os conceitos desses pensadores na educação financeira, percebe-se que a escola não é apenas um lugar para aprender matérias acadêmicas, mas também um espaço onde se adquirem habilidades essenciais para a vida, como o manejo do dinheiro de forma inteligente e responsável.</w:t>
      </w:r>
    </w:p>
    <w:p w:rsidR="00000000" w:rsidDel="00000000" w:rsidP="00000000" w:rsidRDefault="00000000" w:rsidRPr="00000000" w14:paraId="00000070">
      <w:pPr>
        <w:tabs>
          <w:tab w:val="left" w:leader="none" w:pos="851"/>
        </w:tabs>
        <w:spacing w:after="0" w:before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 AÇÕES DESENVOLVIDAS E SUAS CONTRIBUIÇÕES</w:t>
      </w:r>
    </w:p>
    <w:p w:rsidR="00000000" w:rsidDel="00000000" w:rsidP="00000000" w:rsidRDefault="00000000" w:rsidRPr="00000000" w14:paraId="00000072">
      <w:pPr>
        <w:shd w:fill="ffffff" w:val="clear"/>
        <w:spacing w:after="0" w:before="0" w:line="360" w:lineRule="auto"/>
        <w:ind w:firstLine="709"/>
        <w:jc w:val="both"/>
        <w:rPr>
          <w:rFonts w:ascii="Times New Roman" w:cs="Times New Roman" w:eastAsia="Times New Roman" w:hAnsi="Times New Roman"/>
          <w:color w:val="3886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processo de planejamento e criação do material para a intervenção educativa foi especialmente desenvolvido com foco nos temas-chave previamente identificados. Levando em consideração a faixa etária e a necessidade de uma abordagem mais participativa para crianças, o material foi estruturado em torno de conceitos básicos de matemática financeira, consumo consciente, práticas financeiras cotidianas e noções iniciais de empreendedorismo.</w:t>
      </w:r>
    </w:p>
    <w:p w:rsidR="00000000" w:rsidDel="00000000" w:rsidP="00000000" w:rsidRDefault="00000000" w:rsidRPr="00000000" w14:paraId="00000074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conteúdos foram elaborados de maneira lúdica e acessível, visando não apenas informar, mas também envolver os alunos de forma ativa no processo de aprendizagem. Questões práticas do dia a dia foram inseridas para que os alunos pudessem se relacionar e compreender a relevância desses conceitos em suas vidas.</w:t>
      </w:r>
    </w:p>
    <w:p w:rsidR="00000000" w:rsidDel="00000000" w:rsidP="00000000" w:rsidRDefault="00000000" w:rsidRPr="00000000" w14:paraId="00000075">
      <w:pPr>
        <w:pStyle w:val="Heading2"/>
        <w:spacing w:after="120" w:before="360" w:line="360" w:lineRule="auto"/>
        <w:ind w:firstLine="72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pxzn3mgifuop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3.2 INICIAÇÃO DA ABORDAGEM</w:t>
      </w:r>
    </w:p>
    <w:p w:rsidR="00000000" w:rsidDel="00000000" w:rsidP="00000000" w:rsidRDefault="00000000" w:rsidRPr="00000000" w14:paraId="00000076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implementação dessa intervenção ocorreu de maneira fluida e acolhedora em uma escola com alunos receptivos e engajados. Durante as sessões, os alunos demonstraram um elevado nível de interesse, participação e curiosidade em relação aos conteúdos abordados. Suas perguntas constantes e o constante questionamento refletiam um genuíno desejo de compreender e absorver o conhecimento compartilhado.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360" w:lineRule="auto"/>
        <w:ind w:firstLine="72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360" w:lineRule="auto"/>
        <w:ind w:firstLine="72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Figura 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Exposição-dialogada realizada na ação de Extensão </w:t>
      </w:r>
    </w:p>
    <w:p w:rsidR="00000000" w:rsidDel="00000000" w:rsidP="00000000" w:rsidRDefault="00000000" w:rsidRPr="00000000" w14:paraId="00000079">
      <w:pPr>
        <w:spacing w:after="0" w:line="360" w:lineRule="auto"/>
        <w:ind w:firstLine="72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389025" cy="2389025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9025" cy="2389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360" w:lineRule="auto"/>
        <w:ind w:firstLine="72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Fonte: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Autores (2024)</w:t>
      </w:r>
    </w:p>
    <w:p w:rsidR="00000000" w:rsidDel="00000000" w:rsidP="00000000" w:rsidRDefault="00000000" w:rsidRPr="00000000" w14:paraId="0000007B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atmosfera era de interação e troca, com os alunos engajados não apenas em absorver informações, mas também em aplicá-las em situações reais que eles próprios já vivenciavam. Isso evidenciava um nível de educação financeira já presente em suas vidas diárias, sendo a intervenção uma oportunidade de contextualizar esses conhecimentos e expandir sua compreensão sobre o tema.</w:t>
      </w:r>
    </w:p>
    <w:p w:rsidR="00000000" w:rsidDel="00000000" w:rsidP="00000000" w:rsidRDefault="00000000" w:rsidRPr="00000000" w14:paraId="0000007D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360" w:lineRule="auto"/>
        <w:ind w:firstLine="72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Figura 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Aplicação do jogo educativo na ação de Extensão em Nova Cruz - RN.</w:t>
      </w:r>
    </w:p>
    <w:p w:rsidR="00000000" w:rsidDel="00000000" w:rsidP="00000000" w:rsidRDefault="00000000" w:rsidRPr="00000000" w14:paraId="0000007F">
      <w:pPr>
        <w:spacing w:after="0" w:line="360" w:lineRule="auto"/>
        <w:ind w:firstLine="72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360" w:lineRule="auto"/>
        <w:ind w:firstLine="72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039495" cy="2036107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9495" cy="20361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360" w:lineRule="auto"/>
        <w:ind w:firstLine="72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Fonte: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Autores (2024)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2"/>
        <w:spacing w:after="120" w:before="360" w:line="360" w:lineRule="auto"/>
        <w:ind w:firstLine="72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syhp0t9bwuqw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3.3 PERCEPÇÕES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APRENDIDAS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Durante toda a execução da atividade, foi especialmente gratificante perceber o conhecimento prévio que os alunos já possuíam sobre educação financeira, o que está de acordo com as ideias de Silva e Monteiro (2023). A experiência como aplicadora dessa intervenção proporcionou insights valiosos, revelando uma base sólida de educação financeira nas práticas cotidianas dos estudantes. No entanto, apesar do conhecimento prévio demonstrado, a intervenção com o jogo Trilha Financeira atuou como um complemento essencial, oferecendo uma contextualização mais ampla e aprofundada sobre conceitos financeiros.</w:t>
      </w:r>
    </w:p>
    <w:p w:rsidR="00000000" w:rsidDel="00000000" w:rsidP="00000000" w:rsidRDefault="00000000" w:rsidRPr="00000000" w14:paraId="00000086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constatação da preocupação e interesse dos alunos em compreender os conteúdos abordados durante o jogo demonstrou não apenas maturidade, mas também um entendimento significativo por parte desses jovens em relação às decisões financeiras. Essa observação reforça a importância de fornecer ferramentas e contextos adequados para que possam tomar decisões mais conscientes e inteligentes no futuro, fortalecendo ainda mais suas habilidades financeiras já existentes, que está de acordo com Dewey (1959), a ressaltar a importância de experiências práticas na aprendizagem..</w:t>
      </w:r>
    </w:p>
    <w:p w:rsidR="00000000" w:rsidDel="00000000" w:rsidP="00000000" w:rsidRDefault="00000000" w:rsidRPr="00000000" w14:paraId="00000087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Apesar do entusiasmo dos alunos com o tema e da relevância da ferramenta utilizada, é importante considerar que nem todos os estudantes possuem a mesma base sólida de educação financeira. Portanto, estratégias adicionais podem ser necessárias para garantir que todos os alunos tenham a oportunidade de fortalecer suas habilidades nesse campo fundamental.</w:t>
      </w:r>
    </w:p>
    <w:p w:rsidR="00000000" w:rsidDel="00000000" w:rsidP="00000000" w:rsidRDefault="00000000" w:rsidRPr="00000000" w14:paraId="00000088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 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concluir a intervenção na Escola Municipal em Nova Cruz, foi notável o envolvimento e interesse dos alunos, revelando uma base sólida de conhecimento prévio sobre educação financeira. As atividades propostas não apenas reforçaram esses conceitos, mas também despertaram perguntas e debates, evidenciando o engajamento dos estudantes.</w:t>
      </w:r>
    </w:p>
    <w:p w:rsidR="00000000" w:rsidDel="00000000" w:rsidP="00000000" w:rsidRDefault="00000000" w:rsidRPr="00000000" w14:paraId="0000008B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entanto, fica evidente que essa intervenção representa apenas um ponto de partida. A lacuna identificada revela a necessidade de um acompanhamento contínuo para avaliar a evolução dos alunos ao longo do tempo.</w:t>
      </w:r>
    </w:p>
    <w:p w:rsidR="00000000" w:rsidDel="00000000" w:rsidP="00000000" w:rsidRDefault="00000000" w:rsidRPr="00000000" w14:paraId="0000008C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crucial considerar que essa intervenção não foi conclusiva, mas sim um ponto de partida. Identificar a evolução dos alunos requer um acompanhamento mais longo e constante, permitindo a análise do impacto desses ensinamentos em suas vidas cotidianas. A lacuna que se apresenta representa uma oportunidade de aprimoramento e continuidade desse aprendizado, fornecendo aos alunos ferramentas consistentes para tomadas de decisões financeiras mais conscientes no futuro.</w:t>
      </w:r>
    </w:p>
    <w:p w:rsidR="00000000" w:rsidDel="00000000" w:rsidP="00000000" w:rsidRDefault="00000000" w:rsidRPr="00000000" w14:paraId="0000008D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Portanto, essa intervenção não se encerra aqui. A lacuna identificada é um convite para mais ações e intervenções, a fim de preencher esses espaços em branco e, assim, compreender verdadeiramente a evolução e o impacto desses conhecimentos na vida financeira desses alunos. É necessário dar continuidade a iniciativas semelhantes para garantir que esses jovens estejam preparados para enfrentar desafios financeiros futuros de forma consciente e informada.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1"/>
        <w:spacing w:line="360" w:lineRule="auto"/>
        <w:rPr/>
      </w:pPr>
      <w:r w:rsidDel="00000000" w:rsidR="00000000" w:rsidRPr="00000000">
        <w:rPr>
          <w:rtl w:val="0"/>
        </w:rPr>
        <w:t xml:space="preserve">REFERÊNCIAS </w:t>
      </w:r>
    </w:p>
    <w:p w:rsidR="00000000" w:rsidDel="00000000" w:rsidP="00000000" w:rsidRDefault="00000000" w:rsidRPr="00000000" w14:paraId="0000008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ANTUNES, Celso. Novas maneiras de ensinar: novas formas de aprender. Porto Alegre: Artmed, 2002.</w:t>
      </w:r>
    </w:p>
    <w:p w:rsidR="00000000" w:rsidDel="00000000" w:rsidP="00000000" w:rsidRDefault="00000000" w:rsidRPr="00000000" w14:paraId="0000009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Brönstrup,  T. M.  (2016).  Educação  financeira  nas escolas:  estudo de  caso de  uma escola privada  de ensinofundamental no  município de  Santa Maria  (RS). Camine8(2).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Disponível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em: </w:t>
      </w:r>
    </w:p>
    <w:p w:rsidR="00000000" w:rsidDel="00000000" w:rsidP="00000000" w:rsidRDefault="00000000" w:rsidRPr="00000000" w14:paraId="0000009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https://ojs.franca.unesp.br/index.php/caminhos/article/view/1922#:~:text=Este%20estudo%20buscou%20analisar%20a%20inser%C3%A7%C3%A3o%20do%20ensino,question%C3%A1rios%20estruturados%20aos%20estudantes%2C%20professores%20e%20o%20diretor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9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BUSS, Larissa da Silva; AMORIM, Gabriela Vicente de. Educação financeira: a importância da sua inclusão no processo de ensino aprendizagem desde o ensino fundamental. Matemática-Tubarão, 2020.</w:t>
      </w:r>
    </w:p>
    <w:p w:rsidR="00000000" w:rsidDel="00000000" w:rsidP="00000000" w:rsidRDefault="00000000" w:rsidRPr="00000000" w14:paraId="0000009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Dewey, John. "Democracia e Educação: introdução à filosofia da educação". São Paulo: Companhia Editora Nacional, 1959.</w:t>
      </w:r>
    </w:p>
    <w:p w:rsidR="00000000" w:rsidDel="00000000" w:rsidP="00000000" w:rsidRDefault="00000000" w:rsidRPr="00000000" w14:paraId="0000009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DOMINGOS, Reinaldo. Terapia financeira: realize seus sonhos com educação financeira. Rio de Janeiro: DSOP, 2012. </w:t>
      </w:r>
    </w:p>
    <w:p w:rsidR="00000000" w:rsidDel="00000000" w:rsidP="00000000" w:rsidRDefault="00000000" w:rsidRPr="00000000" w14:paraId="0000009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Montessori, Maria. "O Método Montessori: O Livro do Jardim de Infância". São Paulo: Brasil Editora, 2010.</w:t>
      </w:r>
    </w:p>
    <w:p w:rsidR="00000000" w:rsidDel="00000000" w:rsidP="00000000" w:rsidRDefault="00000000" w:rsidRPr="00000000" w14:paraId="0000009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SILVA, . BAB da.; MONTEIRO, . JM. Educação Financeira: Um estudo sobre sua importância na gestão pessoal. Pesquisa, Sociedade e Desenvolvimento , [S. l.] , v. 6, pág. e16212642125, 2023. DOI: 10.33448/rsd-v12i6.42125. Disponível em: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https://rsdjournal.org/index.php/rsd/article/view/42125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15 jan. 2024.</w:t>
      </w:r>
    </w:p>
    <w:p w:rsidR="00000000" w:rsidDel="00000000" w:rsidP="00000000" w:rsidRDefault="00000000" w:rsidRPr="00000000" w14:paraId="0000009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SILVA, Rafaela de Lima; OLIVEIRA, José Alisson de; ALBUQUERQUE SILVA, Maria Aparecida de; NASCIMENTO, Gerusa Barros do. Educação Financeira como Influenciadora de Decisões. In: Anais do Congresso Nacional de Educação (Conedu), 2018, Centro de Convenções de Pernambuco (CECON-PE). Timbaúba-PE: Faculdade de Ciências de Timbaúba-PE. Disponível em: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https://editorarealize.com.br/editora/anais/conedu/2018/TRABALHO_EV117_MD1_SA17_ID8685_09092018014851.pdf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14, jan de 2024.</w:t>
      </w:r>
    </w:p>
    <w:p w:rsidR="00000000" w:rsidDel="00000000" w:rsidP="00000000" w:rsidRDefault="00000000" w:rsidRPr="00000000" w14:paraId="0000009E">
      <w:pPr>
        <w:shd w:fill="ffffff" w:val="clear"/>
        <w:spacing w:after="0" w:before="0" w:line="36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headerReference r:id="rId16" w:type="even"/>
      <w:footerReference r:id="rId17" w:type="default"/>
      <w:footerReference r:id="rId18" w:type="first"/>
      <w:footerReference r:id="rId19" w:type="even"/>
      <w:pgSz w:h="16838" w:w="11906" w:orient="portrait"/>
      <w:pgMar w:bottom="1133.8582677165355" w:top="1700.7874015748032" w:left="1700.7874015748032" w:right="1133.8582677165355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Times New Roman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A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  \* MERGEFORMAT8</w:t>
    </w:r>
  </w:p>
  <w:p w:rsidR="00000000" w:rsidDel="00000000" w:rsidP="00000000" w:rsidRDefault="00000000" w:rsidRPr="00000000" w14:paraId="000000A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A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A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  \* MERGEFORMAT8</w:t>
    </w:r>
  </w:p>
  <w:p w:rsidR="00000000" w:rsidDel="00000000" w:rsidP="00000000" w:rsidRDefault="00000000" w:rsidRPr="00000000" w14:paraId="000000A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otnote w:id="0"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hanging="142"/>
        <w:jc w:val="both"/>
        <w:rPr>
          <w:rFonts w:ascii="Times New Roman" w:cs="Times New Roman" w:eastAsia="Times New Roman" w:hAnsi="Times New Roman"/>
          <w:i w:val="1"/>
          <w:color w:val="2e75b5"/>
          <w:u w:val="singl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Graduanda em Administração. UFRN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E-mail: </w:t>
      </w:r>
      <w:hyperlink r:id="rId1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u w:val="single"/>
            <w:rtl w:val="0"/>
          </w:rPr>
          <w:t xml:space="preserve">hellenbpsif@gmail</w:t>
        </w:r>
      </w:hyperlink>
      <w:hyperlink r:id="rId2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e75b5"/>
            <w:u w:val="single"/>
            <w:rtl w:val="0"/>
          </w:rPr>
          <w:t xml:space="preserve">.</w:t>
        </w:r>
      </w:hyperlink>
      <w:hyperlink r:id="rId3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u w:val="single"/>
            <w:rtl w:val="0"/>
          </w:rPr>
          <w:t xml:space="preserve">com</w:t>
        </w:r>
      </w:hyperlink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A8">
      <w:pPr>
        <w:spacing w:after="0" w:line="240" w:lineRule="auto"/>
        <w:ind w:left="142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 Prof. Dr. Programa de Pós-Graduação em Engenharia Têxtil. Universidade Federal do Rio Grande do Norte.  E-mail: </w:t>
      </w:r>
      <w:hyperlink r:id="rId4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u w:val="single"/>
            <w:rtl w:val="0"/>
          </w:rPr>
          <w:t xml:space="preserve">dgkcs@yahoo.com.br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A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bookmarkStart w:colFirst="0" w:colLast="0" w:name="_heading=h.gjdgxs" w:id="6"/>
    <w:bookmarkEnd w:id="6"/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62625" cy="1233805"/>
          <wp:effectExtent b="0" l="0" r="0" t="0"/>
          <wp:docPr descr="IMG_256" id="5" name="image2.png"/>
          <a:graphic>
            <a:graphicData uri="http://schemas.openxmlformats.org/drawingml/2006/picture">
              <pic:pic>
                <pic:nvPicPr>
                  <pic:cNvPr descr="IMG_256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2625" cy="12338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A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808080"/>
        <w:sz w:val="20"/>
        <w:szCs w:val="20"/>
        <w:u w:val="none"/>
        <w:shd w:fill="auto" w:val="clear"/>
        <w:vertAlign w:val="baseline"/>
      </w:rPr>
    </w:pPr>
    <w:bookmarkStart w:colFirst="0" w:colLast="0" w:name="_heading=h.30j0zll" w:id="7"/>
    <w:bookmarkEnd w:id="7"/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62625" cy="1233805"/>
          <wp:effectExtent b="0" l="0" r="0" t="0"/>
          <wp:docPr descr="IMG_256" id="7" name="image5.png"/>
          <a:graphic>
            <a:graphicData uri="http://schemas.openxmlformats.org/drawingml/2006/picture">
              <pic:pic>
                <pic:nvPicPr>
                  <pic:cNvPr descr="IMG_256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2625" cy="12338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A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80808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62625" cy="1233805"/>
          <wp:effectExtent b="0" l="0" r="0" t="0"/>
          <wp:docPr descr="IMG_256" id="6" name="image5.png"/>
          <a:graphic>
            <a:graphicData uri="http://schemas.openxmlformats.org/drawingml/2006/picture">
              <pic:pic>
                <pic:nvPicPr>
                  <pic:cNvPr descr="IMG_256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2625" cy="12338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240" w:line="360" w:lineRule="auto"/>
    </w:pPr>
    <w:rPr>
      <w:rFonts w:ascii="Times New Roman" w:cs="Times New Roman" w:eastAsia="Times New Roman" w:hAnsi="Times New Roman"/>
      <w:b w:val="1"/>
      <w:color w:val="000000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4e79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0"/>
    <w:qFormat w:val="1"/>
    <w:pPr>
      <w:widowControl w:val="1"/>
      <w:bidi w:val="0"/>
      <w:spacing w:after="160" w:before="0" w:line="259" w:lineRule="auto"/>
      <w:jc w:val="left"/>
    </w:pPr>
    <w:rPr>
      <w:rFonts w:ascii="Calibri" w:cs="" w:eastAsia="宋体" w:hAnsi="Calibri" w:asciiTheme="minorHAnsi" w:cstheme="minorBidi" w:eastAsiaTheme="minorEastAsia" w:hAnsiTheme="minorHAnsi"/>
      <w:color w:val="auto"/>
      <w:kern w:val="0"/>
      <w:sz w:val="22"/>
      <w:szCs w:val="22"/>
      <w:lang w:bidi="ar-SA" w:eastAsia="pt-BR" w:val="pt-BR"/>
    </w:rPr>
  </w:style>
  <w:style w:type="paragraph" w:styleId="Heading1">
    <w:name w:val="Heading 1"/>
    <w:basedOn w:val="Normal"/>
    <w:next w:val="Normal"/>
    <w:link w:val="Ttulo1Char"/>
    <w:uiPriority w:val="9"/>
    <w:qFormat w:val="1"/>
    <w:pPr>
      <w:keepNext w:val="1"/>
      <w:keepLines w:val="1"/>
      <w:spacing w:after="240" w:before="240" w:line="360" w:lineRule="auto"/>
      <w:outlineLvl w:val="0"/>
    </w:pPr>
    <w:rPr>
      <w:rFonts w:ascii="Times New Roman" w:cs="" w:eastAsia="宋体" w:hAnsi="Times New Roman" w:cstheme="majorBidi" w:eastAsiaTheme="majorEastAsia"/>
      <w:b w:val="1"/>
      <w:bCs w:val="1"/>
      <w:color w:val="000000" w:themeColor="text1"/>
      <w:sz w:val="24"/>
      <w:szCs w:val="28"/>
      <w14:textFill>
        <w14:solidFill>
          <w14:schemeClr w14:val="tx1"/>
        </w14:solidFill>
      </w14:textFill>
    </w:rPr>
  </w:style>
  <w:style w:type="paragraph" w:styleId="Heading2">
    <w:name w:val="Heading 2"/>
    <w:basedOn w:val="Normal"/>
    <w:next w:val="Normal"/>
    <w:link w:val="Ttulo2Char"/>
    <w:uiPriority w:val="9"/>
    <w:semiHidden w:val="1"/>
    <w:unhideWhenUsed w:val="1"/>
    <w:qFormat w:val="1"/>
    <w:pPr>
      <w:keepNext w:val="1"/>
      <w:keepLines w:val="1"/>
      <w:spacing w:after="0" w:before="40"/>
      <w:outlineLvl w:val="1"/>
    </w:pPr>
    <w:rPr>
      <w:rFonts w:ascii="Calibri Light" w:cs="" w:eastAsia="宋体" w:hAnsi="Calibri Light" w:asciiTheme="majorHAnsi" w:cstheme="majorBidi" w:eastAsiaTheme="majorEastAsia" w:hAnsiTheme="majorHAnsi"/>
      <w:color w:val="2e75b6" w:themeColor="accent1" w:themeShade="0000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 w:val="1"/>
    <w:unhideWhenUsed w:val="1"/>
    <w:qFormat w:val="1"/>
    <w:pPr>
      <w:keepNext w:val="1"/>
      <w:keepLines w:val="1"/>
      <w:spacing w:after="0" w:before="40"/>
      <w:outlineLvl w:val="2"/>
    </w:pPr>
    <w:rPr>
      <w:rFonts w:ascii="Calibri Light" w:cs="" w:eastAsia="宋体" w:hAnsi="Calibri Light" w:asciiTheme="majorHAnsi" w:cstheme="majorBidi" w:eastAsiaTheme="majorEastAsia" w:hAnsiTheme="majorHAnsi"/>
      <w:color w:val="1f4e79" w:themeColor="accent1" w:themeShade="000080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FootnoteCharacters">
    <w:name w:val="Footnote Characters"/>
    <w:basedOn w:val="DefaultParagraphFont"/>
    <w:uiPriority w:val="99"/>
    <w:semiHidden w:val="1"/>
    <w:unhideWhenUsed w:val="1"/>
    <w:qFormat w:val="1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Hyperlink">
    <w:name w:val="Hyperlink"/>
    <w:basedOn w:val="DefaultParagraphFont"/>
    <w:uiPriority w:val="99"/>
    <w:unhideWhenUsed w:val="1"/>
    <w:qFormat w:val="1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CabealhoChar" w:customStyle="1">
    <w:name w:val="Cabeçalho Char"/>
    <w:basedOn w:val="DefaultParagraphFont"/>
    <w:link w:val="Header"/>
    <w:uiPriority w:val="99"/>
    <w:qFormat w:val="1"/>
    <w:rPr/>
  </w:style>
  <w:style w:type="character" w:styleId="RodapChar" w:customStyle="1">
    <w:name w:val="Rodapé Char"/>
    <w:basedOn w:val="DefaultParagraphFont"/>
    <w:link w:val="Footer"/>
    <w:uiPriority w:val="99"/>
    <w:qFormat w:val="1"/>
    <w:rPr/>
  </w:style>
  <w:style w:type="character" w:styleId="TextodebaloChar" w:customStyle="1">
    <w:name w:val="Texto de balão Char"/>
    <w:basedOn w:val="DefaultParagraphFont"/>
    <w:link w:val="BalloonText"/>
    <w:uiPriority w:val="99"/>
    <w:semiHidden w:val="1"/>
    <w:qFormat w:val="1"/>
    <w:rPr>
      <w:rFonts w:ascii="Tahoma" w:cs="Tahoma" w:hAnsi="Tahoma"/>
      <w:sz w:val="16"/>
      <w:szCs w:val="16"/>
    </w:rPr>
  </w:style>
  <w:style w:type="character" w:styleId="Ttulo1Char" w:customStyle="1">
    <w:name w:val="Título 1 Char"/>
    <w:basedOn w:val="DefaultParagraphFont"/>
    <w:link w:val="Heading1"/>
    <w:uiPriority w:val="9"/>
    <w:qFormat w:val="1"/>
    <w:rPr>
      <w:rFonts w:ascii="Times New Roman" w:cs="" w:eastAsia="宋体" w:hAnsi="Times New Roman" w:cstheme="majorBidi" w:eastAsiaTheme="majorEastAsia"/>
      <w:b w:val="1"/>
      <w:bCs w:val="1"/>
      <w:color w:val="000000" w:themeColor="text1"/>
      <w:sz w:val="24"/>
      <w:szCs w:val="28"/>
      <w14:textFill>
        <w14:solidFill>
          <w14:schemeClr w14:val="tx1"/>
        </w14:solidFill>
      </w14:textFill>
    </w:rPr>
  </w:style>
  <w:style w:type="character" w:styleId="Ttulo2Char" w:customStyle="1">
    <w:name w:val="Título 2 Char"/>
    <w:basedOn w:val="DefaultParagraphFont"/>
    <w:link w:val="Heading2"/>
    <w:uiPriority w:val="9"/>
    <w:semiHidden w:val="1"/>
    <w:qFormat w:val="1"/>
    <w:rPr>
      <w:rFonts w:ascii="Calibri Light" w:cs="" w:eastAsia="宋体" w:hAnsi="Calibri Light" w:asciiTheme="majorHAnsi" w:cstheme="majorBidi" w:eastAsiaTheme="majorEastAsia" w:hAnsiTheme="majorHAnsi"/>
      <w:color w:val="2e75b6" w:themeColor="accent1" w:themeShade="0000BF"/>
      <w:sz w:val="26"/>
      <w:szCs w:val="26"/>
    </w:rPr>
  </w:style>
  <w:style w:type="character" w:styleId="Ttulo3Char" w:customStyle="1">
    <w:name w:val="Título 3 Char"/>
    <w:basedOn w:val="DefaultParagraphFont"/>
    <w:link w:val="Heading3"/>
    <w:uiPriority w:val="9"/>
    <w:semiHidden w:val="1"/>
    <w:qFormat w:val="1"/>
    <w:rPr>
      <w:rFonts w:ascii="Calibri Light" w:cs="" w:eastAsia="宋体" w:hAnsi="Calibri Light" w:asciiTheme="majorHAnsi" w:cstheme="majorBidi" w:eastAsiaTheme="majorEastAsia" w:hAnsiTheme="majorHAnsi"/>
      <w:color w:val="1f4e79" w:themeColor="accent1" w:themeShade="000080"/>
      <w:sz w:val="24"/>
      <w:szCs w:val="24"/>
    </w:rPr>
  </w:style>
  <w:style w:type="character" w:styleId="CitaoChar" w:customStyle="1">
    <w:name w:val="Citação Char"/>
    <w:basedOn w:val="DefaultParagraphFont"/>
    <w:link w:val="Quote"/>
    <w:uiPriority w:val="29"/>
    <w:qFormat w:val="1"/>
    <w:rPr>
      <w:rFonts w:ascii="Times New Roman" w:cs="Times New Roman" w:eastAsia="Arial" w:hAnsi="Times New Roman"/>
      <w:iCs w:val="1"/>
      <w:color w:val="000000" w:themeColor="text1"/>
      <w14:textFill>
        <w14:solidFill>
          <w14:schemeClr w14:val="tx1"/>
        </w14:solidFill>
      </w14:textFill>
    </w:rPr>
  </w:style>
  <w:style w:type="character" w:styleId="TextodenotaderodapChar" w:customStyle="1">
    <w:name w:val="Texto de nota de rodapé Char"/>
    <w:basedOn w:val="DefaultParagraphFont"/>
    <w:link w:val="FootnoteText"/>
    <w:uiPriority w:val="99"/>
    <w:semiHidden w:val="1"/>
    <w:qFormat w:val="1"/>
    <w:rPr>
      <w:rFonts w:ascii="Calibri" w:cs="" w:eastAsia="宋体" w:hAnsi="Calibri" w:asciiTheme="minorHAnsi" w:cstheme="minorBidi" w:eastAsiaTheme="minorEastAsia" w:hAnsiTheme="minorHAnsi"/>
    </w:rPr>
  </w:style>
  <w:style w:type="character" w:styleId="Fontstyle01" w:customStyle="1">
    <w:name w:val="fontstyle01"/>
    <w:basedOn w:val="DefaultParagraphFont"/>
    <w:uiPriority w:val="0"/>
    <w:qFormat w:val="1"/>
    <w:rPr>
      <w:rFonts w:ascii="ArialMT2" w:hAnsi="ArialMT2"/>
      <w:color w:val="242021"/>
      <w:sz w:val="22"/>
      <w:szCs w:val="22"/>
    </w:rPr>
  </w:style>
  <w:style w:type="character" w:styleId="EndnoteReference">
    <w:name w:val="Endnote Reference"/>
    <w:rPr>
      <w:vertAlign w:val="superscript"/>
    </w:rPr>
  </w:style>
  <w:style w:type="character" w:styleId="EndnoteCharacters">
    <w:name w:val="Endnote Characters"/>
    <w:qFormat w:val="1"/>
    <w:rPr/>
  </w:style>
  <w:style w:type="paragraph" w:styleId="Heading">
    <w:name w:val="Heading"/>
    <w:basedOn w:val="Normal"/>
    <w:next w:val="BodyText"/>
    <w:qFormat w:val="1"/>
    <w:pPr>
      <w:keepNext w:val="1"/>
      <w:spacing w:after="120" w:before="240"/>
    </w:pPr>
    <w:rPr>
      <w:rFonts w:ascii="Liberation Sans" w:cs="Lohit Devanagari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ohit Devanagari"/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>
      <w:rFonts w:cs="Lohit Devanagari"/>
    </w:rPr>
  </w:style>
  <w:style w:type="paragraph" w:styleId="NormalWeb">
    <w:name w:val="Normal (Web)"/>
    <w:basedOn w:val="Normal"/>
    <w:uiPriority w:val="99"/>
    <w:unhideWhenUsed w:val="1"/>
    <w:qFormat w:val="1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HeaderandFooter">
    <w:name w:val="Header and Footer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qFormat w:val="1"/>
    <w:pPr>
      <w:tabs>
        <w:tab w:val="clear" w:pos="708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qFormat w:val="1"/>
    <w:pPr>
      <w:tabs>
        <w:tab w:val="clear" w:pos="708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BalloonText">
    <w:name w:val="Balloon Text"/>
    <w:basedOn w:val="Normal"/>
    <w:link w:val="TextodebaloChar"/>
    <w:uiPriority w:val="99"/>
    <w:semiHidden w:val="1"/>
    <w:unhideWhenUsed w:val="1"/>
    <w:qFormat w:val="1"/>
    <w:pPr>
      <w:spacing w:after="0" w:before="0" w:line="240" w:lineRule="auto"/>
    </w:pPr>
    <w:rPr>
      <w:rFonts w:ascii="Tahoma" w:cs="Tahoma" w:hAnsi="Tahoma"/>
      <w:sz w:val="16"/>
      <w:szCs w:val="16"/>
    </w:rPr>
  </w:style>
  <w:style w:type="paragraph" w:styleId="FootnoteText">
    <w:name w:val="Footnote Text"/>
    <w:basedOn w:val="Normal"/>
    <w:link w:val="TextodenotaderodapChar"/>
    <w:uiPriority w:val="99"/>
    <w:semiHidden w:val="1"/>
    <w:unhideWhenUsed w:val="1"/>
    <w:qFormat w:val="1"/>
    <w:pPr>
      <w:spacing w:after="0" w:before="0" w:line="240" w:lineRule="auto"/>
    </w:pPr>
    <w:rPr>
      <w:sz w:val="20"/>
      <w:szCs w:val="20"/>
    </w:rPr>
  </w:style>
  <w:style w:type="paragraph" w:styleId="Quote">
    <w:name w:val="Quote"/>
    <w:basedOn w:val="Normal"/>
    <w:next w:val="Normal"/>
    <w:link w:val="CitaoChar"/>
    <w:uiPriority w:val="29"/>
    <w:qFormat w:val="1"/>
    <w:pPr>
      <w:tabs>
        <w:tab w:val="clear" w:pos="708"/>
        <w:tab w:val="left" w:leader="none" w:pos="851"/>
      </w:tabs>
      <w:spacing w:after="0" w:before="0" w:line="240" w:lineRule="auto"/>
      <w:ind w:left="2268"/>
      <w:jc w:val="both"/>
    </w:pPr>
    <w:rPr>
      <w:rFonts w:ascii="Times New Roman" w:cs="Times New Roman" w:eastAsia="Arial" w:hAnsi="Times New Roman"/>
      <w:iCs w:val="1"/>
      <w:color w:val="000000" w:themeColor="text1"/>
      <w14:textFill>
        <w14:solidFill>
          <w14:schemeClr w14:val="tx1"/>
        </w14:solidFill>
      </w14:textFill>
    </w:rPr>
  </w:style>
  <w:style w:type="paragraph" w:styleId="Texto" w:customStyle="1">
    <w:name w:val="Texto"/>
    <w:basedOn w:val="Normal"/>
    <w:uiPriority w:val="0"/>
    <w:qFormat w:val="1"/>
    <w:pPr>
      <w:suppressAutoHyphens w:val="1"/>
      <w:spacing w:after="0" w:before="0" w:line="360" w:lineRule="auto"/>
      <w:ind w:firstLine="851"/>
      <w:jc w:val="both"/>
    </w:pPr>
    <w:rPr>
      <w:rFonts w:ascii="Arial" w:cs="Arial" w:eastAsia="Calibri" w:hAnsi="Arial"/>
      <w:sz w:val="24"/>
      <w:lang w:eastAsia="zh-CN"/>
    </w:rPr>
  </w:style>
  <w:style w:type="table" w:styleId="6" w:default="1">
    <w:name w:val="Normal Table"/>
    <w:uiPriority w:val="99"/>
    <w:semiHidden w:val="1"/>
    <w:unhideWhenUsed w:val="1"/>
    <w:qFormat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ojs.franca.unesp.br/index.php/caminhos/article/view/1922#:~:text=Este%20estudo%20buscou%20analisar%20a%20inser%C3%A7%C3%A3o%20do%20ensino,question%C3%A1rios%20estruturados%20aos%20estudantes%2C%20professores%20e%20o%20diretor" TargetMode="External"/><Relationship Id="rId10" Type="http://schemas.openxmlformats.org/officeDocument/2006/relationships/image" Target="media/image3.png"/><Relationship Id="rId13" Type="http://schemas.openxmlformats.org/officeDocument/2006/relationships/hyperlink" Target="https://editorarealize.com.br/editora/anais/conedu/2018/TRABALHO_EV117_MD1_SA17_ID8685_09092018014851.pdf" TargetMode="External"/><Relationship Id="rId12" Type="http://schemas.openxmlformats.org/officeDocument/2006/relationships/hyperlink" Target="https://rsdjournal.org/index.php/rsd/article/view/42125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5" Type="http://schemas.openxmlformats.org/officeDocument/2006/relationships/header" Target="header3.xml"/><Relationship Id="rId14" Type="http://schemas.openxmlformats.org/officeDocument/2006/relationships/header" Target="header2.xml"/><Relationship Id="rId17" Type="http://schemas.openxmlformats.org/officeDocument/2006/relationships/footer" Target="footer2.xml"/><Relationship Id="rId16" Type="http://schemas.openxmlformats.org/officeDocument/2006/relationships/header" Target="header1.xml"/><Relationship Id="rId5" Type="http://schemas.openxmlformats.org/officeDocument/2006/relationships/numbering" Target="numbering.xml"/><Relationship Id="rId19" Type="http://schemas.openxmlformats.org/officeDocument/2006/relationships/footer" Target="footer1.xml"/><Relationship Id="rId6" Type="http://schemas.openxmlformats.org/officeDocument/2006/relationships/styles" Target="styles.xml"/><Relationship Id="rId18" Type="http://schemas.openxmlformats.org/officeDocument/2006/relationships/footer" Target="footer3.xml"/><Relationship Id="rId7" Type="http://schemas.openxmlformats.org/officeDocument/2006/relationships/customXml" Target="../customXML/item1.xml"/><Relationship Id="rId8" Type="http://schemas.openxmlformats.org/officeDocument/2006/relationships/image" Target="media/image1.png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mailto:hellenbpsif@gmail.com" TargetMode="External"/><Relationship Id="rId2" Type="http://schemas.openxmlformats.org/officeDocument/2006/relationships/hyperlink" Target="mailto:hellenbpsif@gmail.com" TargetMode="External"/><Relationship Id="rId3" Type="http://schemas.openxmlformats.org/officeDocument/2006/relationships/hyperlink" Target="mailto:hellenbpsif@gmail.com" TargetMode="External"/><Relationship Id="rId4" Type="http://schemas.openxmlformats.org/officeDocument/2006/relationships/hyperlink" Target="mailto:dgkcs@yahoo.com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+y0igFHaHNxeTlRSv+vui8dK/w==">CgMxLjAyDmguaTVmczQ1NGo3ZjZwMg5oLnliaXkyZHplbzgyMjINaC56bnV6MW1kdTR1YzIOaC41aTNxdGc1ZXJyamoyDmgucHh6bjNtZ2lmdW9wMg5oLnN5aHAwdDlid3VxdzIIaC5namRneHMyCWguMzBqMHpsbDgAaiQKFHN1Z2dlc3QuNTFwdTc4bXQxNmxzEgxIRUxMRU4gU0lMVkFqJAoUc3VnZ2VzdC4xZXBhN3Y5OWxwcTMSDEhFTExFTiBTSUxWQXIhMXJhVFU4Q3drcndYcmxMTENQQnJta0loTUZTOEE0dW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2020-02-18T16:17:00Z</dcterms:created>
  <dc:creator>Periodicos-PC02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316BD341BD594A5AA0DC4B0B24392B11_13</vt:lpwstr>
  </property>
  <property fmtid="{D5CDD505-2E9C-101B-9397-08002B2CF9AE}" pid="3" name="KSOProductBuildVer">
    <vt:lpwstr>1046-12.2.0.17119</vt:lpwstr>
  </property>
</Properties>
</file>