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RELATOS DE EXPERIÊNCIA EXTENSIONISTA</w:t>
      </w:r>
    </w:p>
    <w:p w:rsidR="00000000" w:rsidDel="00000000" w:rsidP="00000000" w:rsidRDefault="00000000" w:rsidRPr="00000000" w14:paraId="00000002">
      <w:pPr>
        <w:shd w:fill="ffffff" w:val="clear"/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CURSOS QUE ENSINAM 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REMITEM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EXTENSÃO DA ORGANIZAÇÃO DE APRENDIZAGENS E SABERES EM INICIATIVAS SOLIDÁRIAS NA ASSOCIAÇÃO DE PROTEÇÃO E ASSISTÊNCIA AOS CONDENADOS EM MACAU, NOS ANOS DE 2023 E 2024</w:t>
      </w:r>
    </w:p>
    <w:p w:rsidR="00000000" w:rsidDel="00000000" w:rsidP="00000000" w:rsidRDefault="00000000" w:rsidRPr="00000000" w14:paraId="00000004">
      <w:pPr>
        <w:shd w:fill="ffffff" w:val="clear"/>
        <w:spacing w:after="0" w:before="0" w:line="360" w:lineRule="auto"/>
        <w:jc w:val="right"/>
        <w:rPr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RODRIGUES, Maria Emília Bezerra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before="0" w:line="360" w:lineRule="auto"/>
        <w:jc w:val="right"/>
        <w:rPr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SOARES, Mateus da Costa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before="0" w:line="360" w:lineRule="auto"/>
        <w:jc w:val="right"/>
        <w:rPr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SILVESTRE, Luiz Henrique Aparecido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before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SOUSA, Washington José de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Este trabalho é um relato da ação de extensão, iniciada em 2023 e com andamento em 2024, da incubadora Organização de Aprendizagens e Saberes em Iniciativas Solidárias na Associação de Proteção e Assistência aos Condenados do município de Macau, Rio Grande do Norte. A ação tem o objetivo de contribuir para a remição de pena dos recuperandos e proporcionar a eles capacitação para abraçarem oportunidades quando se tornarem egressos. Para tanto, foram elaborados projetos para a oferta de dois cursos: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Bases e Práticas de Educação Alimentar e Nutricional e Economia Solidária: Produção e Consumo de Alimentos e Segurança Alimentar e Nutricional, realizado em 2023,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Bases Teóricas e Práticas em Empreendedorismo e Gestão de Cooperativas, Jardinagem e Agricultura Orgânica, Manipulação de Alimentos e Capacitação para Panificação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com andamento em 2024. Os cursos são divididos em três eixos e ministrados em formato híbrido, com encontros presenciais quinzenais (75% da carga horária) e entre eles uma atividade remota (completando os outros 25%). O apoio da gestão da associação de Macau e o interesse e a participação ativa dos recuperandos, além da troca de experiências e a construção coletiva do planejamento, tornaram a ação extensionista uma experiência muito rica e positiva para a equipe da incubadora e que corrobora com os princípios e diretrizes da extensão universitária.</w:t>
      </w:r>
    </w:p>
    <w:p w:rsidR="00000000" w:rsidDel="00000000" w:rsidP="00000000" w:rsidRDefault="00000000" w:rsidRPr="00000000" w14:paraId="0000000B">
      <w:pPr>
        <w:spacing w:after="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Associação de Proteção e Assistência aos Condenados; Organização de Aprendizagens e Saberes em Iniciativas Solidárias; extensão; cursos; remição de pena.</w:t>
      </w:r>
    </w:p>
    <w:p w:rsidR="00000000" w:rsidDel="00000000" w:rsidP="00000000" w:rsidRDefault="00000000" w:rsidRPr="00000000" w14:paraId="0000000D">
      <w:pPr>
        <w:spacing w:after="24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APRESENTAÇÃO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before="0" w:line="360" w:lineRule="auto"/>
        <w:ind w:firstLine="850.393700787401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Este trabalho tem como objetivo relatar a experiência de extensão da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Organização de Aprendizagem e Saberes em Iniciativas Solidárias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OASIS) da Universidade Federal do Rio Grande do Norte (UFRN) em parceria com a Associação de Proteção e Assistência aos Condenados (APAC) de Macau, Rio Grande do Norte (RN) visando a capacitação de recuperandos e diversificação de atividades oferecidas para remição de pena. </w:t>
      </w:r>
    </w:p>
    <w:p w:rsidR="00000000" w:rsidDel="00000000" w:rsidP="00000000" w:rsidRDefault="00000000" w:rsidRPr="00000000" w14:paraId="00000011">
      <w:pPr>
        <w:shd w:fill="ffffff" w:val="clear"/>
        <w:spacing w:after="0" w:before="0" w:line="360" w:lineRule="auto"/>
        <w:ind w:firstLine="850.393700787401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parceria com a APAC é resultado da necessária aproximação entre  ensino-extensão-pesquisa, no componente curricular Gestão de Organizações da Sociedade Civil, lecionada pelo professor Washington Sousa no primeiro semestre do ano letivo de 2021, para o curso de bacharelado em Administração da UFRN. Como consequência, no ano de 2023, o professor orientou uma discente em seu trabalho de conclusão de curso que teve como tema a associação que gerou, como desdobramento, a demanda por um projeto de capacitação que também proporcionasse a redução de pena aos recuperandos,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incentivasse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o convívio social e apresentasse oportunidades para retomada da vida para egressos do sistema .</w:t>
      </w:r>
    </w:p>
    <w:p w:rsidR="00000000" w:rsidDel="00000000" w:rsidP="00000000" w:rsidRDefault="00000000" w:rsidRPr="00000000" w14:paraId="00000012">
      <w:pPr>
        <w:shd w:fill="ffffff" w:val="clear"/>
        <w:spacing w:after="0" w:before="0" w:line="360" w:lineRule="auto"/>
        <w:ind w:firstLine="850.393700787401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A extensão universitária é compreendida como uma parte essencial do processo formativo acadêmico, envolvendo experiências que geram trocas e relações dentro de um contexto social. Ela oferece um espaço para reflexão crítica, permitindo a revisão das práticas acadêmicas em relação às necessidades sociais e à formação de profissionais capazes de promover transformações sociais (FORPROEX, 2006). Portanto, a proposta extensionista partiu do pressuposto que a acessibilidade ao conhecimento e incentivo à práticas profissionais que podem ser realizadas pelos recuperandos após o período de restrição, pode modificar a realidade, oferecendo informações que possam auxiliar na tomada de decisão após o cumprimento da pena. </w:t>
      </w:r>
    </w:p>
    <w:p w:rsidR="00000000" w:rsidDel="00000000" w:rsidP="00000000" w:rsidRDefault="00000000" w:rsidRPr="00000000" w14:paraId="00000013">
      <w:pPr>
        <w:shd w:fill="ffffff" w:val="clear"/>
        <w:spacing w:after="0" w:before="0" w:line="360" w:lineRule="auto"/>
        <w:ind w:firstLine="850.393700787401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primeiro curso teve seu início em 31 de agosto de 2023 com o objetivo de socializar fundamentos da economia solidária, do associativismo,  cooperativismo  e agricultura familiar, integrados a conteúdos, habilidades e práticas de produção de alimentos e de segurança alimentar e nutricional. Tendo o seu início no dia 31/08/2023 o curso percorreu diversas  temáticas relacionadas à agricultura familiar partindo de fatores mais didáticos e históricos, até a práticas, além de apresentar muitas pautas ligadas a cooperativismo e gestão social, o curso se finalizou no dia 06/11/2023, como mostra a Figura 1.</w:t>
      </w:r>
    </w:p>
    <w:p w:rsidR="00000000" w:rsidDel="00000000" w:rsidP="00000000" w:rsidRDefault="00000000" w:rsidRPr="00000000" w14:paraId="00000014">
      <w:pPr>
        <w:shd w:fill="ffffff" w:val="clear"/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before="0" w:line="360" w:lineRule="auto"/>
        <w:ind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Figura 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– Equipe da OASIS escalada para um dos encontros do curso na APAC</w:t>
      </w:r>
    </w:p>
    <w:p w:rsidR="00000000" w:rsidDel="00000000" w:rsidP="00000000" w:rsidRDefault="00000000" w:rsidRPr="00000000" w14:paraId="00000016">
      <w:pPr>
        <w:shd w:fill="ffffff" w:val="clear"/>
        <w:spacing w:after="0" w:line="36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3928479" cy="2281984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3928479" cy="2281984"/>
                          <a:chOff x="152400" y="152400"/>
                          <a:chExt cx="5048250" cy="2924175"/>
                        </a:xfrm>
                      </wpg:grpSpPr>
                      <pic:pic>
                        <pic:nvPicPr>
                          <pic:cNvPr id="4" name="Shape 4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5048250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928479" cy="2281984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8479" cy="228198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360" w:lineRule="auto"/>
        <w:ind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Fonte: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Elaborada pelos autores</w:t>
      </w:r>
    </w:p>
    <w:p w:rsidR="00000000" w:rsidDel="00000000" w:rsidP="00000000" w:rsidRDefault="00000000" w:rsidRPr="00000000" w14:paraId="00000018">
      <w:pPr>
        <w:shd w:fill="ffffff" w:val="clear"/>
        <w:spacing w:after="0" w:line="36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before="0" w:line="360" w:lineRule="auto"/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Deste modo, com a experiência do curso realizado no ano de 2023, foi possível realizar uma análise crítica das dificuldades encontradas e desenvolver um planejamento mais eficaz para o plano de curso que seria ministrado no ano de 2024. Dentre as dificuldades encontradas no ano de 2023, muitas se relacionam  ao tempo de locomoção para a instituição era grande, a ambientação dos grupos para com a realidade da instituição e próprio espaço físico, que era limitado levando em consideração as atividades a serem executadas.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before="0" w:line="360" w:lineRule="auto"/>
        <w:ind w:firstLine="850.393700787401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Já em 2024, o projeto de extensão intitulado "Bases Teóricas e Práticas em Empreendedorismo e Gestão de Cooperativas, Jardinagem e Agricultura Orgânica, Manipulação de Alimentos e Capacitação para Panificação" foi proposto para atender aos 30 recuperandos, abrangendo temas como gestão, agricultura, jardinagem e nutrição. Iniciado em abril de 2024, o curso está em andamento, com o principal objetivo de capacitar os recuperandos ao mesmo tempo em que permite a remição da pena destes em uma carga horária de 84 horas.</w:t>
      </w:r>
    </w:p>
    <w:p w:rsidR="00000000" w:rsidDel="00000000" w:rsidP="00000000" w:rsidRDefault="00000000" w:rsidRPr="00000000" w14:paraId="0000001B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.1 A OASIS</w:t>
      </w:r>
    </w:p>
    <w:p w:rsidR="00000000" w:rsidDel="00000000" w:rsidP="00000000" w:rsidRDefault="00000000" w:rsidRPr="00000000" w14:paraId="0000001C">
      <w:pPr>
        <w:shd w:fill="ffffff" w:val="clear"/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Organização de Aprendizagens e Saberes em Iniciativas Solidárias e Estudos no Terceiro Setor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OASIS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 da Universidade Federal do Rio Grande do Norte, está sediada no Núcleo de Práticas de Extensão (Nupex), no Setor I (Figura 2). Idealizada em 2006, a OASIS tem origem na pesquisa a partir de um o núcleo da Unitrabalho,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rede nacional de universidades que apoia trabalhadoras e trabalhadores na sua luta por melhores condições de vida e trabalho, realizando projetos de ensino, pesquisa e extensão, integrando o conhecimento acadêmico ao saber elaborado na prática social.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hd w:fill="ffffff" w:val="clear"/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Em 2009, a OASIS passa atuar como incubador visando “[...] fomentar iniciativas sociais e de economia solidária, o desenvolvimento científico e a inovação nas tecnologias sociais em sintonia com a Política Nacional de Ciência, Tecnologia e Inovação – CT&amp;I”, como destaca a Resolução nº 006/2022 (UFRN, 2022, art. 6, inc. IX).</w:t>
      </w:r>
    </w:p>
    <w:p w:rsidR="00000000" w:rsidDel="00000000" w:rsidP="00000000" w:rsidRDefault="00000000" w:rsidRPr="00000000" w14:paraId="0000001E">
      <w:pPr>
        <w:shd w:fill="ffffff" w:val="clear"/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360" w:lineRule="auto"/>
        <w:ind w:firstLine="0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Figura 2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Equipe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OASIS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trabalhando na sede da incubadora, localizada no Nupex</w:t>
      </w:r>
    </w:p>
    <w:p w:rsidR="00000000" w:rsidDel="00000000" w:rsidP="00000000" w:rsidRDefault="00000000" w:rsidRPr="00000000" w14:paraId="00000020">
      <w:pPr>
        <w:shd w:fill="ffffff" w:val="clear"/>
        <w:spacing w:after="0" w:line="36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</w:rPr>
        <mc:AlternateContent>
          <mc:Choice Requires="wpg">
            <w:drawing>
              <wp:inline distB="114300" distT="114300" distL="114300" distR="114300">
                <wp:extent cx="4145753" cy="2812273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4025" y="107725"/>
                          <a:ext cx="4145753" cy="2812273"/>
                          <a:chOff x="84025" y="107725"/>
                          <a:chExt cx="6773975" cy="4580800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 rotWithShape="1">
                          <a:blip r:embed="rId10">
                            <a:alphaModFix/>
                          </a:blip>
                          <a:srcRect b="0" l="0" r="5997" t="19034"/>
                          <a:stretch/>
                        </pic:blipFill>
                        <pic:spPr>
                          <a:xfrm>
                            <a:off x="84050" y="107725"/>
                            <a:ext cx="7091875" cy="458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3" name="Shape 3"/>
                        <wps:spPr>
                          <a:xfrm>
                            <a:off x="6626225" y="2975675"/>
                            <a:ext cx="9144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145753" cy="2812273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5753" cy="281227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="360" w:lineRule="auto"/>
        <w:ind w:firstLine="0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Fonte: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Elaborada pelos autores.</w:t>
      </w:r>
    </w:p>
    <w:p w:rsidR="00000000" w:rsidDel="00000000" w:rsidP="00000000" w:rsidRDefault="00000000" w:rsidRPr="00000000" w14:paraId="00000022">
      <w:pPr>
        <w:shd w:fill="ffffff" w:val="clear"/>
        <w:spacing w:after="0" w:line="36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 acordo com Matos (2018), em 2013 a incubadora incorporou simultaneamente as funções específicas de ensino e pesquisa. O ensino está vinculado ao Programa Nacional de Educação na Reforma Agrária (Pronera), especificamente ao Curso de Graduação Tecnológica em Gestão de Cooperativas no Centro de Ciências Sociais Aplicadas (CCSA). O referido curso foi concebido em 2012, implantado em 2013 e, desde então, é administrado pela OASIS mediante termo de execução descentralizada (TED) firmado entre a UFRN e o Instituto Nacional de Colonização e Reforma Agrária (Incra). A pesquisa, por sua vez, vincula-se ao Programa de Pós-Graduação em Administração (PPGA) com conteúdos da gestão social, e também ao Programa Institucional de Bolsas de Iniciação Científica. </w:t>
      </w:r>
    </w:p>
    <w:p w:rsidR="00000000" w:rsidDel="00000000" w:rsidP="00000000" w:rsidRDefault="00000000" w:rsidRPr="00000000" w14:paraId="00000024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.2 A ASSOCIAÇÃO DE PROTEÇÃO E ASSISTÊNCIA AOS CONDENADOS (APAC)</w:t>
      </w:r>
    </w:p>
    <w:p w:rsidR="00000000" w:rsidDel="00000000" w:rsidP="00000000" w:rsidRDefault="00000000" w:rsidRPr="00000000" w14:paraId="00000025">
      <w:pPr>
        <w:shd w:fill="ffffff" w:val="clear"/>
        <w:spacing w:after="0" w:line="360" w:lineRule="auto"/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1972 surge a APAC, na cidade de São José dos Campos (SP), operando atualmente com 64 unidades em todo o Brasil, com a maior parte delas localizada em Minas Gerais. As unidades são acompanhadas e orientadas pela Fraternidade Brasileira de Assistência aos Condenados (FBAC), instituição criada, segundo Ferreira (2022, p. 47), com o intuito de “[...] congregar, orientar e supervisionar as APACs do Brasil [...]”. “Devido ao crescimento e expansão das APACs, fez-se necessária a criação de uma entidade que acompanhasse e orientasse o trabalho realizado por cada uma das unidades, sem perder a essência da metodologia, sendo, portanto, sua guardiã” (Ferreira, 2022, p. 47).</w:t>
      </w:r>
    </w:p>
    <w:p w:rsidR="00000000" w:rsidDel="00000000" w:rsidP="00000000" w:rsidRDefault="00000000" w:rsidRPr="00000000" w14:paraId="00000026">
      <w:pPr>
        <w:shd w:fill="ffffff" w:val="clear"/>
        <w:spacing w:after="0" w:line="360" w:lineRule="auto"/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APAC é uma instituição que atua como ferramenta de aplicabilidade dos direitos garantidos para aqueles que estão cumprindo pena no Brasil, conforme a legislação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Segundo a Fraternidade Brasileira de Assistência aos Condenados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FBAC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2024), mais de 6 mil pessoas cumprem penas nas unidades da APAC, que abrangem os regimes fechado, semiaberto e aberto. A APAC é conhecida por seu enfoque na dignidade e reabilitação dos apenados, oferecendo uma alternativa ao sistema penitenciário tradicional.</w:t>
      </w:r>
    </w:p>
    <w:p w:rsidR="00000000" w:rsidDel="00000000" w:rsidP="00000000" w:rsidRDefault="00000000" w:rsidRPr="00000000" w14:paraId="00000027">
      <w:pPr>
        <w:shd w:fill="ffffff" w:val="clear"/>
        <w:spacing w:after="0" w:line="360" w:lineRule="auto"/>
        <w:ind w:firstLine="850.393700787401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Fundada em 2005 em Macau (RN), a unidade (Figura 3) se destaca por sua abordagem em relação à dignidade e recuperação dos apenados. Entre as práticas que mostram seu compromisso com a dignidade estão a permissão para que os presos usem roupas comuns em vez de uniformes, e a manutenção de um contato próximo com suas famílias, evitando o isolamento. A entidade acredita na ressocialização, por isso oferece uma proposta de responsabilidade gradativa, onde os apenados se tornam parte integrante da administração do próprio presídio. O princípio que guia a APAC pode ser resumido em uma frase que é repetida como um mantra em todas as suas unidades: "Todo homem é maior do que o seu erro". Essa crença fundamental reflete a visão da instituição de que cada indivíduo tem a capacidade de se transformar e se reabilitar, independentemente dos erros cometidos no passado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(TJRN, 2024).</w:t>
      </w:r>
    </w:p>
    <w:p w:rsidR="00000000" w:rsidDel="00000000" w:rsidP="00000000" w:rsidRDefault="00000000" w:rsidRPr="00000000" w14:paraId="00000028">
      <w:pPr>
        <w:shd w:fill="ffffff" w:val="clear"/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360" w:lineRule="auto"/>
        <w:ind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Figura 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– Fachada da APAC, em Macau</w:t>
      </w:r>
    </w:p>
    <w:p w:rsidR="00000000" w:rsidDel="00000000" w:rsidP="00000000" w:rsidRDefault="00000000" w:rsidRPr="00000000" w14:paraId="0000002A">
      <w:pPr>
        <w:shd w:fill="ffffff" w:val="clear"/>
        <w:spacing w:after="0" w:line="360" w:lineRule="auto"/>
        <w:ind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4502940" cy="301122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4502940" cy="3011225"/>
                          <a:chOff x="152400" y="152400"/>
                          <a:chExt cx="4972050" cy="3314700"/>
                        </a:xfrm>
                      </wpg:grpSpPr>
                      <pic:pic>
                        <pic:nvPicPr>
                          <pic:cNvPr id="5" name="Shape 5"/>
                          <pic:cNvPicPr preferRelativeResize="0"/>
                        </pic:nvPicPr>
                        <pic:blipFill>
                          <a:blip r:embed="rId12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4972050" cy="33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502940" cy="301122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2940" cy="30112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line="360" w:lineRule="auto"/>
        <w:ind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Fonte: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Elaborada pelos autores.</w:t>
      </w:r>
    </w:p>
    <w:p w:rsidR="00000000" w:rsidDel="00000000" w:rsidP="00000000" w:rsidRDefault="00000000" w:rsidRPr="00000000" w14:paraId="0000002C">
      <w:pPr>
        <w:shd w:fill="ffffff" w:val="clear"/>
        <w:spacing w:after="0" w:line="360" w:lineRule="auto"/>
        <w:ind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color w:val="3f006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ROCEDIMENTOS METODOLÓGICOS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f006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hd w:fill="ffffff" w:val="clear"/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f0065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Quanto aos procedimentos, esta seção apresentará as organizações envolvidas, e aspectos gerais da metodologia da experiência, já que a seção mais adequada para sua pormenorização e crítica será “atividades desenvolvidas e contribuições ". </w:t>
      </w:r>
    </w:p>
    <w:p w:rsidR="00000000" w:rsidDel="00000000" w:rsidP="00000000" w:rsidRDefault="00000000" w:rsidRPr="00000000" w14:paraId="0000002F">
      <w:pPr>
        <w:shd w:fill="ffffff" w:val="clear"/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Para realizar este trabalho foram consultados os documentos oficiais da experiência (projetos submetidos e relatórios), arquivo de fotos e relato de tutores dos cursos e seus auxiliares, tendo em vista a necessidade de avaliação do projeto. Não há relatos dos recuperandos dada a necessidade de autorização judicial para tanto.   </w:t>
      </w:r>
    </w:p>
    <w:p w:rsidR="00000000" w:rsidDel="00000000" w:rsidP="00000000" w:rsidRDefault="00000000" w:rsidRPr="00000000" w14:paraId="00000030">
      <w:pPr>
        <w:shd w:fill="ffffff" w:val="clear"/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O projeto “Bases Teóricas e Práticas em Empreendedorismo e Gestão de Cooperativas, Jardinagem e Agricultura Orgânica, Manipulação de Alimentos e Capacitação para Panificação” foi desenvolvida para atender às necessidades específicas de 30 recuperandos, com início em abril de 2024 e ainda em execução. O curso adota um formato híbrido, com 75% dos encontros presenciais e 25% online, originalmente planejado para ter uma carga horária diária de 8 horas, mas ajustado para 2 horas semanais devido a necessidade de ajustes,  com encontros presenciais quinzenais e atividades remotas.</w:t>
      </w:r>
    </w:p>
    <w:p w:rsidR="00000000" w:rsidDel="00000000" w:rsidP="00000000" w:rsidRDefault="00000000" w:rsidRPr="00000000" w14:paraId="00000031">
      <w:pPr>
        <w:shd w:fill="ffffff" w:val="clear"/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O planejamento do curso foi estruturado para o período de 07 de março de 2024 a 12 de dezembro de 2024, permitindo aos participantes escolherem áreas de maior interesse e proporcionando uma abordagem personalizada e imersiva. As metodologias foram adaptadas às necessidades dos recuperandos e aos objetivos educacionais, garantindo relevância e flexibilidade.</w:t>
      </w:r>
    </w:p>
    <w:p w:rsidR="00000000" w:rsidDel="00000000" w:rsidP="00000000" w:rsidRDefault="00000000" w:rsidRPr="00000000" w14:paraId="00000032">
      <w:pPr>
        <w:tabs>
          <w:tab w:val="left" w:leader="none" w:pos="851"/>
        </w:tabs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 áreas de conhecimento que integram os cursos são organizadas de maneira a seguir metodologias específicas, elaboradas para atender às necessidades e particularidades de cada campo de estudo. Essas metodologias  foram projetadas para maximizar o aprendizado dos recuperandos, e sua aplicação pode variar significativamente dependendo da natureza do conteúdo abordado em cada esfera de estudo. A metodologia foi desenvolvida com base em uma análise dos objetivos didáticos e características dos tópicos tratados, garantindo que as abordagens adotadas sejam as mais apropriadas para a necessidade observada, e valorizando a troca de experiência com os recuperandos e estimulando a participação.</w:t>
      </w:r>
    </w:p>
    <w:p w:rsidR="00000000" w:rsidDel="00000000" w:rsidP="00000000" w:rsidRDefault="00000000" w:rsidRPr="00000000" w14:paraId="00000033">
      <w:pPr>
        <w:shd w:fill="ffffff" w:val="clear"/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Ao longo do curso e pautados na necessidade de ajustar os temas à demanda dos recuperandos, parcerias estão sendo agregadas ao projeto, como é o caso de empresas juniores da UFRN, que oferecem, a partir de sua experiência no mercado, um intercâmbio de conhecimentos junto com o público, que desde o primeiro encontro, apresentou conhecimento empírico, o que tem sido também explorado pelos tutores dos cursos.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851"/>
        </w:tabs>
        <w:spacing w:after="240" w:before="24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 AÇÕES DESENVOLVIDAS E SUAS CONTRIBUIÇÕES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851"/>
        </w:tabs>
        <w:spacing w:after="240" w:before="24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A diversidade metodológica é marcante no projeto, visando permitir adaptação às demandas dos diferentes conteúdos, assegurando que cada área de conhecimento seja abordada de forma a maximizar o envolvimento dos recuperandos e a relevância do aprendizado. Portanto, foi avaliado juntamente com os coordenadores do curso como cada área específica contemplada, atua ao decorrer dos encontros. </w:t>
      </w:r>
    </w:p>
    <w:p w:rsidR="00000000" w:rsidDel="00000000" w:rsidP="00000000" w:rsidRDefault="00000000" w:rsidRPr="00000000" w14:paraId="00000036">
      <w:pPr>
        <w:tabs>
          <w:tab w:val="left" w:leader="none" w:pos="851"/>
        </w:tabs>
        <w:spacing w:after="240" w:before="24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3.1 BASES E PRÁTICAS DE EDUCAÇÃO ALIMENTAR E NUTRICIONAL E ECONOMIA SOLIDÁRIA: PRODUÇÃO E CONSUMO DE ALIMENTOS E SEGURANÇA ALIMENTAR A NUTRICIONAL (2023) </w:t>
      </w:r>
    </w:p>
    <w:p w:rsidR="00000000" w:rsidDel="00000000" w:rsidP="00000000" w:rsidRDefault="00000000" w:rsidRPr="00000000" w14:paraId="00000037">
      <w:pPr>
        <w:tabs>
          <w:tab w:val="left" w:leader="none" w:pos="851"/>
        </w:tabs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3.1.1 Compostagem e vermicompostagem</w:t>
      </w:r>
    </w:p>
    <w:p w:rsidR="00000000" w:rsidDel="00000000" w:rsidP="00000000" w:rsidRDefault="00000000" w:rsidRPr="00000000" w14:paraId="00000038">
      <w:pPr>
        <w:tabs>
          <w:tab w:val="left" w:leader="none" w:pos="851"/>
        </w:tabs>
        <w:spacing w:after="0" w:line="360" w:lineRule="auto"/>
        <w:ind w:firstLine="850.393700787401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Em 2023, discutiu-se agroflorestas e a compostagem. Após momentos de explicação teórica do que seria e quais as vantagens, ele os orientou para criarem um sistema de compostagem próprio utilizando restos de alimentos (com algumas exceções, como carne) e da madeira utilizada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 trabalho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laborterapêutico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Para tanto, foi utilizada uma caixa d’água que já tinha disponível e o professor e parte da equipe foram montando junto com eles; nos encontros seguintes era realizado o acompanhamento. Em parceria com o Minhocário Berg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em um dos encontros foi ensinado sobre a vermicompostagem com minhocas. Junto com os recuperandos e apoiado pela equipe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OASIS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ele demonstrou todo o processo da composteira doméstica a partir da utilização de minhocas, três latas de plástico de tinta (reaproveitadas) e os restos de alimentos que seriam aproveitados pelos anelídeos para produzir o húmus. Ainda falou sobre o biofertilizante, produzido em decorrência do chorume escorrido e depois diluído em água, e que sua comercialização poderia ser fonte de renda para as famílias e para os próprios apenados quando saíssem.</w:t>
      </w:r>
    </w:p>
    <w:p w:rsidR="00000000" w:rsidDel="00000000" w:rsidP="00000000" w:rsidRDefault="00000000" w:rsidRPr="00000000" w14:paraId="00000039">
      <w:pPr>
        <w:tabs>
          <w:tab w:val="left" w:leader="none" w:pos="851"/>
        </w:tabs>
        <w:spacing w:after="240" w:before="24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3.2 BASES TEÓRICAS E PRÁTICAS EM EMPREENDEDORISMO E GESTÃO DE COOPERATIVAS, JARDINAGEM E AGRICULTURA ORGÂNICA, MANIPULAÇÃO DE ALIMENTOS E CAPACITAÇÃO PARA PANIFICAÇÃO (2024)</w:t>
      </w:r>
    </w:p>
    <w:p w:rsidR="00000000" w:rsidDel="00000000" w:rsidP="00000000" w:rsidRDefault="00000000" w:rsidRPr="00000000" w14:paraId="0000003A">
      <w:pPr>
        <w:tabs>
          <w:tab w:val="left" w:leader="none" w:pos="851"/>
        </w:tabs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3.2.1 Curso de jardinagem e agricultura</w:t>
      </w:r>
    </w:p>
    <w:p w:rsidR="00000000" w:rsidDel="00000000" w:rsidP="00000000" w:rsidRDefault="00000000" w:rsidRPr="00000000" w14:paraId="0000003B">
      <w:pPr>
        <w:tabs>
          <w:tab w:val="left" w:leader="none" w:pos="851"/>
        </w:tabs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A partir de relato dos coordenadores do curso, foi possível coletar a informação de que o curso de Jardinagem e Agricultura adota uma abordagem centrada na metodologia de ateliê. Levando em consideração o que foi coletado a partir de conversas com os coordenadores, essa abordagem foi escolhida especificamente para fomentar uma aprendizagem coletiva e colaborativa, criando um ambiente propício à troca e ao compartilhamento de conhecimentos entre os participantes. Ao invés de simplesmente transmitir informações de forma unilateral, o curso encoraja os participantes a interagirem e colaborarem, enriquecendo a experiência de aprendizado com a diversidade de perspectivas e experiências individuais.</w:t>
      </w:r>
    </w:p>
    <w:p w:rsidR="00000000" w:rsidDel="00000000" w:rsidP="00000000" w:rsidRDefault="00000000" w:rsidRPr="00000000" w14:paraId="0000003C">
      <w:pPr>
        <w:tabs>
          <w:tab w:val="left" w:leader="none" w:pos="851"/>
        </w:tabs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O principal objetivo deste curso é preparar os recuperandos para a implementação de práticas sustentáveis em suas atividades agrícolas e de jardinagem. Este preparo é realizado com um enfoque especial nas técnicas adaptadas para pequenos espaços, reconhecendo as limitações e necessidades específicas desses ambientes. Além de ensinar práticas agrícolas e de jardinagem que respeitam os princípios da sustentabilidade, a formação oferecida vai além, promovendo uma maior conscientização sobre a importância dos sistemas ambientais e da sustentabilidade.</w:t>
      </w:r>
    </w:p>
    <w:p w:rsidR="00000000" w:rsidDel="00000000" w:rsidP="00000000" w:rsidRDefault="00000000" w:rsidRPr="00000000" w14:paraId="0000003D">
      <w:pPr>
        <w:tabs>
          <w:tab w:val="left" w:leader="none" w:pos="851"/>
        </w:tabs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O curso incorpora atividades práticas, proporcionando aos recuperandos a oportunidade de aplicar o conhecimento adquirido de forma tangível. Um dos principais projetos práticos do curso é a construção de um jardim. Este projeto serve como uma aplicação direta dos conceitos e técnicas discutidos, permitindo que os recuperandos vejam e experimentem os resultados de suas aprendizagens em um contexto real. Assim, o curso de jardinagem e agricultura tem uma abordagem prática e colaborativa, que não apenas capacita os  e promove um entendimento mais profundo e uma maior conscientização sobre a importância da sustentabilidade ambiental.</w:t>
      </w:r>
    </w:p>
    <w:p w:rsidR="00000000" w:rsidDel="00000000" w:rsidP="00000000" w:rsidRDefault="00000000" w:rsidRPr="00000000" w14:paraId="0000003E">
      <w:pPr>
        <w:tabs>
          <w:tab w:val="left" w:leader="none" w:pos="851"/>
        </w:tabs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3.2.2  Curso de empreendedorismo e gestão de cooperativas</w:t>
      </w:r>
    </w:p>
    <w:p w:rsidR="00000000" w:rsidDel="00000000" w:rsidP="00000000" w:rsidRDefault="00000000" w:rsidRPr="00000000" w14:paraId="0000003F">
      <w:pPr>
        <w:tabs>
          <w:tab w:val="left" w:leader="none" w:pos="851"/>
        </w:tabs>
        <w:spacing w:after="0" w:before="0" w:line="360" w:lineRule="auto"/>
        <w:ind w:firstLine="850.393700787401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curso de Gestão foi estruturado, inicialmente, para focar em associações e cooperativas. Utilizando uma abordagem metodológica distinta, que se dá pela própria temática, é menos comum a realização de atividade prática, tal como acontece com o curso de Jardinagem. O programa do curso foi concebido para definir, de maneira introdutória, os tópicos relevantes que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seriam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abordados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através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de aulas expositivas, como constituição, contabilidade, marketing, financiamento, políticas públicas, complementadas por atividades assíncronas, sendo atividades programadas com objetivo aprofundar os conhecimentos sobre os temas discutidos nas sessões presenciais anteriores.</w:t>
      </w:r>
    </w:p>
    <w:p w:rsidR="00000000" w:rsidDel="00000000" w:rsidP="00000000" w:rsidRDefault="00000000" w:rsidRPr="00000000" w14:paraId="00000040">
      <w:pPr>
        <w:tabs>
          <w:tab w:val="left" w:leader="none" w:pos="851"/>
        </w:tabs>
        <w:spacing w:after="0" w:before="0" w:line="360" w:lineRule="auto"/>
        <w:ind w:firstLine="850.393700787401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Após a criação inicial do programa e definido o cronograma, a equipe responsável pelo curso apresentou o plano aos recuperandos com o propósito de colher suas percepções sobre os tópicos que seriam abordados. Esse processo de consulta foi essencial para ajustar o cronograma às necessidades e interesses reais dos participantes. A partir das informações coletadas, o planejamento do curso foi sendo refinado ao decorrer de seu andamento para melhor atender às expectativas e demandas dos recuperandos.</w:t>
        <w:tab/>
      </w:r>
    </w:p>
    <w:p w:rsidR="00000000" w:rsidDel="00000000" w:rsidP="00000000" w:rsidRDefault="00000000" w:rsidRPr="00000000" w14:paraId="00000041">
      <w:pPr>
        <w:tabs>
          <w:tab w:val="left" w:leader="none" w:pos="851"/>
        </w:tabs>
        <w:spacing w:after="0" w:before="0" w:line="360" w:lineRule="auto"/>
        <w:ind w:firstLine="850.393700787401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curso, portanto, foi implementado de maneira a refletir de forma significativa os interesses e necessidades expressos pelos participantes, adaptando sua estrutura e conteúdo para melhor atender a essas expectativas. Já no primeiro encontro com os recuperandos, foi apresentada a proposta do curso e debatida as adaptações necessárias, o que é feito de maneira contínua. Assim, o tema Cooperativismo é abordado, mas sempre em comparação com outras categorias empresariais (Microempreendedor Individual [MEI], Microempresa, dentro outras)</w:t>
      </w:r>
    </w:p>
    <w:p w:rsidR="00000000" w:rsidDel="00000000" w:rsidP="00000000" w:rsidRDefault="00000000" w:rsidRPr="00000000" w14:paraId="00000042">
      <w:pPr>
        <w:tabs>
          <w:tab w:val="left" w:leader="none" w:pos="854.9999999999999"/>
        </w:tabs>
        <w:spacing w:after="0" w:before="0" w:line="360" w:lineRule="auto"/>
        <w:ind w:firstLine="850.393700787401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metodologia adotada incluiu uma série de atividades com o objetivo central de permitir aos recuperandos a elaboração e desenvolvimento de um plano de negócios. Apesar das limitações inerentes à realização de atividades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práticas em um ambiente de reclusão, o grupo responsável pela realização buscou transmitir, mesmo que minimamente, a realidade de quem trabalha com organizações através de profissionais da área. O curso foi construído para ser uma experiência educativa que não apenas transmite conhecimento acadêmico, mas também capacita os recuperandos com habilidades práticas essenciais para sua futura reintegração ao convívio social. </w:t>
      </w:r>
    </w:p>
    <w:p w:rsidR="00000000" w:rsidDel="00000000" w:rsidP="00000000" w:rsidRDefault="00000000" w:rsidRPr="00000000" w14:paraId="00000043">
      <w:pPr>
        <w:tabs>
          <w:tab w:val="left" w:leader="none" w:pos="851"/>
        </w:tabs>
        <w:spacing w:after="0" w:before="0" w:line="360" w:lineRule="auto"/>
        <w:ind w:firstLine="850.393700787401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Foram realizados, até o momento, dois encontros abordando os seguintes temas: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MEI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 Contabilidade. Uma equipe da OASIS ministrou o tema Microempreendedorismo em 23 de maio, no qual apresentou as diferenças entre Pessoa Física 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MEI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 de que forma este último pode começar, organizar e gerir inicialmente o seu negócio, contando com o auxílio da ferramenta Canvas. Em parceria com a Acont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footnoteReference w:customMarkFollows="0" w:id="5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no dia 11 de julho foi ministrado o tema Contabilidade, voltado para alguns regimes tributários e sua relação com o MEI e as Microempresas (MEs), e inclusive diferenças entre estes.</w:t>
      </w:r>
    </w:p>
    <w:p w:rsidR="00000000" w:rsidDel="00000000" w:rsidP="00000000" w:rsidRDefault="00000000" w:rsidRPr="00000000" w14:paraId="00000044">
      <w:pPr>
        <w:tabs>
          <w:tab w:val="left" w:leader="none" w:pos="851"/>
        </w:tabs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3.2.3 Manipulação de alimentos e capacitação para panificação</w:t>
      </w:r>
    </w:p>
    <w:p w:rsidR="00000000" w:rsidDel="00000000" w:rsidP="00000000" w:rsidRDefault="00000000" w:rsidRPr="00000000" w14:paraId="00000045">
      <w:pPr>
        <w:spacing w:after="0" w:before="0" w:line="360" w:lineRule="auto"/>
        <w:ind w:firstLine="850.393700787401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 curso de manipulação de alimentos e capacitação de alimentos, o enfoque principal foi direcionado para a nutrição. O curso surgiu através da própria demanda da APAC, muitos recuperandos tinham dúvidas sobre a área que iriam trabalhar após cumprir a pena e foi coletada, a partir da visão dos próprios recuperandos, a informação de que muitos seguiram o ramo alimentício. Foi revelado ainda, que, apesar das diferenças de foco entre os cursos de manipulação de alimentos e o curso de gestão de cooperativas, os cursos compartilham semelhanças sobre a metodologia utilizada. Ambos os cursos utilizam uma abordagem metodológica que prioriza a participação ativa dos alunos e a aplicação teórica dos conceitos ensinados.</w:t>
      </w:r>
    </w:p>
    <w:p w:rsidR="00000000" w:rsidDel="00000000" w:rsidP="00000000" w:rsidRDefault="00000000" w:rsidRPr="00000000" w14:paraId="00000046">
      <w:pPr>
        <w:spacing w:after="0" w:before="0" w:line="360" w:lineRule="auto"/>
        <w:ind w:firstLine="850.3937007874017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 curso de manipulação de alimentos, assim como no curso de gestão de cooperativas, incorpora elementos de diálogo, semelhantes aos encontrados no curso de gestão. Durante o curso, os participantes têm a oportunidade de desenvolver um aprendizado colaborativo, onde os participantes não apenas absorvem informações, mas também aplicam e discutem os conceitos em um ambiente de apoio mútuo. Essa abordagem ajuda a consolidar o conhecimento e a preparar os participantes para enfrentar os desafios práticos que encontrarão em suas respectivas áreas de atuação.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851"/>
        </w:tabs>
        <w:spacing w:after="240" w:before="240" w:line="36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3.3 CONTRIBUIÇÕES GERADAS</w:t>
      </w:r>
    </w:p>
    <w:p w:rsidR="00000000" w:rsidDel="00000000" w:rsidP="00000000" w:rsidRDefault="00000000" w:rsidRPr="00000000" w14:paraId="00000048">
      <w:pPr>
        <w:tabs>
          <w:tab w:val="left" w:leader="none" w:pos="851"/>
        </w:tabs>
        <w:spacing w:after="0" w:before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É perceptível um duplo benefício para os recuperandos: a remição da pena e o recomeço para quando a cumprirem. Isso tem um peso muito importante quando se leva em conta o objetivo da extensão (e, por conseguinte, da ação extensionista universitária), pois mostra o bem que pode ser proporcionado à sociedade pela população acadêmica e, de forma particular, o quanto é extremamente possível ressocializar. Por essa razão é que</w:t>
      </w:r>
    </w:p>
    <w:p w:rsidR="00000000" w:rsidDel="00000000" w:rsidP="00000000" w:rsidRDefault="00000000" w:rsidRPr="00000000" w14:paraId="00000049">
      <w:pPr>
        <w:tabs>
          <w:tab w:val="left" w:leader="none" w:pos="851"/>
        </w:tabs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851"/>
        </w:tabs>
        <w:spacing w:after="0" w:before="0" w:line="240" w:lineRule="auto"/>
        <w:ind w:left="2267.7165354330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[...] grandes parceiros podem ser as Universidades locais, que contam com um grande número de jovens cheios de ideais, e devem ter a oportunidade de colocar em prática ações [...] que visam o bem comum, permitindo a realização de experiências únicas, que trarão resultados para ambos os lados, tanto para a comunidade como para aqueles que estarão desenvolvendo atividades [...]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Dantas, 2018, f. 7)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4B">
      <w:pPr>
        <w:tabs>
          <w:tab w:val="left" w:leader="none" w:pos="851"/>
        </w:tabs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834.0000000000002"/>
        </w:tabs>
        <w:spacing w:after="0" w:before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Durante as conversas com os membros da OASIS, foi notado que todos falavam da grande experiência que tiveram (e estão tendo) ao realizar as atividades extensionistas na APAC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Macau. Destacavam pontos como a troca de saberes, a diferença acerca da realidade privativa de liberdade em que vivem em comparação aos sistema prisional comum, e a participação ativa dos apenados nos encontros presenciais e nas atividades remotas realizadas, e como isso era enriquecedor para a validação e importância social da ação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estava/está sendo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realizada pela equipe. Vê-se, diante tudo o que já foi apresentado, o quanto isso se relaciona com os princípios e diretrizes da extensão universitária (UFRN, 2022, arts. 4 e 5) e corrobora com o pensamento de Dantas:</w:t>
      </w:r>
    </w:p>
    <w:p w:rsidR="00000000" w:rsidDel="00000000" w:rsidP="00000000" w:rsidRDefault="00000000" w:rsidRPr="00000000" w14:paraId="0000004D">
      <w:pPr>
        <w:tabs>
          <w:tab w:val="left" w:leader="none" w:pos="834.0000000000002"/>
        </w:tabs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851"/>
        </w:tabs>
        <w:spacing w:after="0" w:before="0" w:line="240" w:lineRule="auto"/>
        <w:ind w:left="2267.7165354330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[...] a extensão universitária é muito importante para os discentes que a vivenciam, devido essa possibilidade de inserção no meio social, o conhecimento e vivência da realidade do outro, a possibilidade de comunicação, levando o conhecimento para aqueles que estão fora dos muros das academias, e os estudantes/profissionais tendo a oportunidade de adquirir uma experiência marcante (Dantas, 2018, f. 18).</w:t>
      </w:r>
    </w:p>
    <w:p w:rsidR="00000000" w:rsidDel="00000000" w:rsidP="00000000" w:rsidRDefault="00000000" w:rsidRPr="00000000" w14:paraId="0000004F">
      <w:pPr>
        <w:tabs>
          <w:tab w:val="left" w:leader="none" w:pos="851"/>
        </w:tabs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Gestão Social é muito presente a construção coletiva, e na extensão, a flexibilidade com que muitas vezes é preciso devido ao ambiente em que se está atuando. Isso foi bastante visto no planejamento das ações e especialmente durante o curso em si, podendo se revelar tanto um desafio quanto um presente, pois se de um lado ocasiona um risco de falta de continuidade do planejamento e inexequibilidade da ação, de outro há a cooperação entre as pessoas e especialmente a escuta atenta para com aquele(s) que é (são) o(s) alvo(s) da ação extensionista. Apesar de aspectos negativos como o espaço inadequado e estreito e a realização simultânea com a laborterapia (já que não eram/são todos que participaram/participam do curso), o apoio da gestão da APAC, a troca de conhecimentos, a acolhida e a participação ativa dos recuperandos sintetizam a motivação para continuar.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numPr>
          <w:ilvl w:val="0"/>
          <w:numId w:val="1"/>
        </w:numPr>
        <w:ind w:left="432" w:hanging="432"/>
        <w:jc w:val="center"/>
        <w:rPr/>
      </w:pPr>
      <w:r w:rsidDel="00000000" w:rsidR="00000000" w:rsidRPr="00000000">
        <w:rPr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DANTAS,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Sirleya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Imaculada Conceição.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Desenvolvimento humano e extensão universitária: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o papel da extensão universitária no desenvolvimento humano dos estudantes. 2018. 20f. Trabalho de Conclusão de Curso (Graduação em Administração) - Departamento de Ciências Sociais e Humanas, Universidade Federal do Rio Grande do Norte, Currais Novos, 2018. Disponível em: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https://repositorio.ufrn.br/bitstream/123456789/43454/2/DesenvolvimentoHumanoExtensao_Dantas_2018.pdf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Acesso em: 29 jul. 2024.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851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commentRangeStart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FERREIRA, Valdeci.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APAC: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revolução do sistema penitenciário. Itaúna, MG: Ed. do Autor,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2022.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851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851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FORPROEX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FÓRUM DE PRÓ-REITORES DE EXTENSÃO DAS UNIVERSIDADES PÚBLICAS BRASILEIRAS. Indissociabilidade ensino-pesquisa-extensão e a flexibilização curricular: uma visão da extensão. Brasília: MEC/SESu, 2006. Disponível em: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https://www.ufmg.br/proex/renex/images/documentos/Indissociabilidade-e-Flexibilizacao.pdf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Acesso em: 30 jul. 2024.</w:t>
      </w:r>
    </w:p>
    <w:p w:rsidR="00000000" w:rsidDel="00000000" w:rsidP="00000000" w:rsidRDefault="00000000" w:rsidRPr="00000000" w14:paraId="00000058">
      <w:pPr>
        <w:tabs>
          <w:tab w:val="left" w:leader="none" w:pos="851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MATOS,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Leís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Ferreira de.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Extensão universitária e economia solidária: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efeitos e potenciais de ações de incubadoras da UFRN na comunidade povoado Cruz Currais Novos/RN. 2015. 96f. Dissertação (Mestrado Profissional em Gestão de Processos Institucionais) - Centro de Ciências Humanas, Letras e Artes, Universidade Federal do Rio Grande do Norte, Natal, 2015.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Disponível em: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https://repositorio.ufrn.br/bitstream/123456789/20361/1/LeisFerreiraDeMatos_DISSERT.pdf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Acesso em: 29 jul. 2024.</w:t>
      </w:r>
    </w:p>
    <w:p w:rsidR="00000000" w:rsidDel="00000000" w:rsidP="00000000" w:rsidRDefault="00000000" w:rsidRPr="00000000" w14:paraId="0000005A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TJRN – TRIBUNAL DE JUSTIÇA DO RIO GRANDE DO NORTE. Grupo de Monitoramento e Fiscalização do Sistema Carcerário (GMF).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Associação de Proteção e Assistência aos Condenados - APAC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2024. Disponível em: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https://tjrn.jus.br/gmf/politica-de-cidadania/associacao-de-protecao-e-assistencia-aos-condenados-apac/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Acesso em: 08 jul. 2024. 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UFRN – UNIVERSIDADE FEDERAL DO RIO GRANDE DO NORTE. Conselho de Ensino, Pesquisa e Extensão. Resolução nº 006/2022, de 26 de abril de 2022.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Aprova o Regulamento de Extensão da Universidade Federal do Rio Grande do Norte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Natal, 2022. Disponível em: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https://www.ufrn.br/resources/documentos/regulamentos/regulamento-de-extensao-UFRN.pdf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Acesso em: 29 jul.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19" w:type="default"/>
      <w:headerReference r:id="rId20" w:type="even"/>
      <w:footerReference r:id="rId21" w:type="default"/>
      <w:footerReference r:id="rId2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comment w:author="MARIA RODRIGUES" w:id="0" w:date="2024-07-31T23:19:05Z"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essa citação pode ficar assim?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otnote w:id="0"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14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Graduanda em Administração pela Universidade Federal do Rio Grande do Norte (UFRN)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. E-mail: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color w:val="000000"/>
            <w:rtl w:val="0"/>
          </w:rPr>
          <w:t xml:space="preserve">mariaemiliabezerrarodrigues@hotmail.com</w:t>
        </w:r>
      </w:hyperlink>
      <w:r w:rsidDel="00000000" w:rsidR="00000000" w:rsidRPr="00000000">
        <w:rPr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66">
      <w:pPr>
        <w:spacing w:after="0" w:line="240" w:lineRule="auto"/>
        <w:ind w:left="142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Graduando em Administração pela Universidade Federal do Rio Grande do Norte (UFRN). E-mail: </w:t>
      </w:r>
      <w:hyperlink r:id="rId2">
        <w:r w:rsidDel="00000000" w:rsidR="00000000" w:rsidRPr="00000000">
          <w:rPr>
            <w:rFonts w:ascii="Times New Roman" w:cs="Times New Roman" w:eastAsia="Times New Roman" w:hAnsi="Times New Roman"/>
            <w:color w:val="000000"/>
            <w:rtl w:val="0"/>
          </w:rPr>
          <w:t xml:space="preserve">mateuscosta1618@gmail.com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67">
      <w:pPr>
        <w:spacing w:after="0" w:line="240" w:lineRule="auto"/>
        <w:ind w:left="142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Doutorando em Administração pela Universidade Federal do Rio Grande do Norte (UFRN). E-mail: </w:t>
      </w:r>
      <w:hyperlink r:id="rId3">
        <w:r w:rsidDel="00000000" w:rsidR="00000000" w:rsidRPr="00000000">
          <w:rPr>
            <w:rFonts w:ascii="Times New Roman" w:cs="Times New Roman" w:eastAsia="Times New Roman" w:hAnsi="Times New Roman"/>
            <w:color w:val="000000"/>
            <w:rtl w:val="0"/>
          </w:rPr>
          <w:t xml:space="preserve">lhasilvestre@gmail.com</w:t>
        </w:r>
      </w:hyperlink>
      <w:r w:rsidDel="00000000" w:rsidR="00000000" w:rsidRPr="00000000">
        <w:rPr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68">
      <w:pPr>
        <w:spacing w:after="0" w:line="240" w:lineRule="auto"/>
        <w:ind w:left="14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Professor Doutor do curso de Administração pelo Departamento de Administração Pública e Gestão Social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DAPGS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/CCSA) da Universidade Federal do Rio Grande do Norte (UFRN). E-mail: </w:t>
      </w:r>
      <w:hyperlink r:id="rId4">
        <w:r w:rsidDel="00000000" w:rsidR="00000000" w:rsidRPr="00000000">
          <w:rPr>
            <w:rFonts w:ascii="Times New Roman" w:cs="Times New Roman" w:eastAsia="Times New Roman" w:hAnsi="Times New Roman"/>
            <w:color w:val="000000"/>
            <w:rtl w:val="0"/>
          </w:rPr>
          <w:t xml:space="preserve">washington.sousa@ufrn.br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Acont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é a empresa júnior do curso de graduação em Ciências Contábeis da UFRN.</w:t>
      </w:r>
    </w:p>
  </w:footnote>
  <w:footnote w:id="4">
    <w:p w:rsidR="00000000" w:rsidDel="00000000" w:rsidP="00000000" w:rsidRDefault="00000000" w:rsidRPr="00000000" w14:paraId="0000006A">
      <w:pPr>
        <w:spacing w:after="0" w:line="240" w:lineRule="auto"/>
        <w:ind w:right="4.13385826771730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Minhocário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Berg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é uma empresa de gestão de resíduos, sediada em Macaíba. As principais atividades são serviços de agronomia e consultoria em atividades agrícolas e pecuárias.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62625" cy="1233805"/>
          <wp:effectExtent b="0" l="0" r="0" t="0"/>
          <wp:docPr id="4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2625" cy="12338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="360" w:lineRule="auto"/>
      <w:ind w:left="432" w:hanging="432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rFonts w:ascii="Calibri" w:cs="Calibri" w:eastAsia="Calibri" w:hAnsi="Calibri"/>
      <w:color w:val="2e75b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rFonts w:ascii="Calibri" w:cs="Calibri" w:eastAsia="Calibri" w:hAnsi="Calibri"/>
      <w:color w:val="1f4e79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image" Target="media/image1.png"/><Relationship Id="rId22" Type="http://schemas.openxmlformats.org/officeDocument/2006/relationships/footer" Target="footer1.xml"/><Relationship Id="rId10" Type="http://schemas.openxmlformats.org/officeDocument/2006/relationships/image" Target="media/image6.png"/><Relationship Id="rId21" Type="http://schemas.openxmlformats.org/officeDocument/2006/relationships/footer" Target="footer2.xml"/><Relationship Id="rId13" Type="http://schemas.openxmlformats.org/officeDocument/2006/relationships/image" Target="media/image3.png"/><Relationship Id="rId12" Type="http://schemas.openxmlformats.org/officeDocument/2006/relationships/image" Target="media/image5.jpg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2.png"/><Relationship Id="rId15" Type="http://schemas.openxmlformats.org/officeDocument/2006/relationships/hyperlink" Target="https://www.ufmg.br/proex/renex/images/documentos/Indissociabilidade-e-Flexibilizacao.pdf" TargetMode="External"/><Relationship Id="rId14" Type="http://schemas.openxmlformats.org/officeDocument/2006/relationships/hyperlink" Target="https://repositorio.ufrn.br/bitstream/123456789/43454/2/DesenvolvimentoHumanoExtensao_Dantas_2018.pdf" TargetMode="External"/><Relationship Id="rId17" Type="http://schemas.openxmlformats.org/officeDocument/2006/relationships/hyperlink" Target="https://tjrn.jus.br/gmf/politica-de-cidadania/associacao-de-protecao-e-assistencia-aos-condenados-apac/" TargetMode="External"/><Relationship Id="rId16" Type="http://schemas.openxmlformats.org/officeDocument/2006/relationships/hyperlink" Target="https://repositorio.ufrn.br/bitstream/123456789/20361/1/LeisFerreiraDeMatos_DISSERT.pdf" TargetMode="External"/><Relationship Id="rId5" Type="http://schemas.openxmlformats.org/officeDocument/2006/relationships/footnotes" Target="footnotes.xml"/><Relationship Id="rId19" Type="http://schemas.openxmlformats.org/officeDocument/2006/relationships/header" Target="header2.xml"/><Relationship Id="rId6" Type="http://schemas.openxmlformats.org/officeDocument/2006/relationships/numbering" Target="numbering.xml"/><Relationship Id="rId18" Type="http://schemas.openxmlformats.org/officeDocument/2006/relationships/hyperlink" Target="https://www.ufrn.br/resources/documentos/regulamentos/regulamento-de-extensao-UFRN.pdf" TargetMode="External"/><Relationship Id="rId7" Type="http://schemas.openxmlformats.org/officeDocument/2006/relationships/styles" Target="styles.xml"/><Relationship Id="rId8" Type="http://schemas.openxmlformats.org/officeDocument/2006/relationships/image" Target="media/image4.jpg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mariaemiliabezerrarodrigues@hotmail.com" TargetMode="External"/><Relationship Id="rId2" Type="http://schemas.openxmlformats.org/officeDocument/2006/relationships/hyperlink" Target="mailto:mateuscosta1618@gmail.com" TargetMode="External"/><Relationship Id="rId3" Type="http://schemas.openxmlformats.org/officeDocument/2006/relationships/hyperlink" Target="mailto:lhasilvestre@gmail.com" TargetMode="External"/><Relationship Id="rId4" Type="http://schemas.openxmlformats.org/officeDocument/2006/relationships/hyperlink" Target="mailto:washington.sousa@ufrn.br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UFRN</vt:lpwstr>
  </property>
</Properties>
</file>